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F67F" w14:textId="77777777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УТВЕРЖДАЮ</w:t>
      </w:r>
    </w:p>
    <w:p w14:paraId="3A5663DE" w14:textId="77777777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Председатель Правления</w:t>
      </w:r>
    </w:p>
    <w:p w14:paraId="1F420DB2" w14:textId="7274D222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АКБ «Алмазэргиэнбанк» АО</w:t>
      </w:r>
    </w:p>
    <w:p w14:paraId="06AE4689" w14:textId="77777777" w:rsidR="003E603B" w:rsidRPr="00F35B34" w:rsidRDefault="003E603B" w:rsidP="00632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143B88" w14:textId="622267BC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_____________</w:t>
      </w:r>
      <w:r w:rsidR="00C35B47" w:rsidRPr="00F35B34">
        <w:rPr>
          <w:rFonts w:ascii="Times New Roman" w:hAnsi="Times New Roman" w:cs="Times New Roman"/>
        </w:rPr>
        <w:t xml:space="preserve">Н.Н. </w:t>
      </w:r>
      <w:r w:rsidRPr="00F35B34">
        <w:rPr>
          <w:rFonts w:ascii="Times New Roman" w:hAnsi="Times New Roman" w:cs="Times New Roman"/>
        </w:rPr>
        <w:t xml:space="preserve">Долгунов </w:t>
      </w:r>
    </w:p>
    <w:p w14:paraId="5CF2854A" w14:textId="77777777" w:rsidR="00201F83" w:rsidRPr="00F35B34" w:rsidRDefault="00201F83" w:rsidP="00632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3CB063" w14:textId="076D5953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«</w:t>
      </w:r>
      <w:r w:rsidR="003F5F51">
        <w:rPr>
          <w:rFonts w:ascii="Times New Roman" w:hAnsi="Times New Roman" w:cs="Times New Roman"/>
        </w:rPr>
        <w:t>15» апреля</w:t>
      </w:r>
      <w:r w:rsidRPr="00F35B34">
        <w:rPr>
          <w:rFonts w:ascii="Times New Roman" w:hAnsi="Times New Roman" w:cs="Times New Roman"/>
        </w:rPr>
        <w:t xml:space="preserve"> 20</w:t>
      </w:r>
      <w:r w:rsidR="002572F7" w:rsidRPr="00F35B34">
        <w:rPr>
          <w:rFonts w:ascii="Times New Roman" w:hAnsi="Times New Roman" w:cs="Times New Roman"/>
        </w:rPr>
        <w:t xml:space="preserve">22 </w:t>
      </w:r>
      <w:r w:rsidRPr="00F35B34">
        <w:rPr>
          <w:rFonts w:ascii="Times New Roman" w:hAnsi="Times New Roman" w:cs="Times New Roman"/>
        </w:rPr>
        <w:t>г.</w:t>
      </w:r>
    </w:p>
    <w:p w14:paraId="30B5A660" w14:textId="77777777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Дата ввода в действие: </w:t>
      </w:r>
    </w:p>
    <w:p w14:paraId="43BC7775" w14:textId="5E22EE69" w:rsidR="006320F5" w:rsidRPr="00F35B34" w:rsidRDefault="006320F5" w:rsidP="006320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  «</w:t>
      </w:r>
      <w:r w:rsidR="003F5F51">
        <w:rPr>
          <w:rFonts w:ascii="Times New Roman" w:hAnsi="Times New Roman" w:cs="Times New Roman"/>
        </w:rPr>
        <w:t>15</w:t>
      </w:r>
      <w:r w:rsidRPr="00F35B34">
        <w:rPr>
          <w:rFonts w:ascii="Times New Roman" w:hAnsi="Times New Roman" w:cs="Times New Roman"/>
        </w:rPr>
        <w:t>»</w:t>
      </w:r>
      <w:r w:rsidR="003F5F51">
        <w:rPr>
          <w:rFonts w:ascii="Times New Roman" w:hAnsi="Times New Roman" w:cs="Times New Roman"/>
        </w:rPr>
        <w:t xml:space="preserve"> апреля</w:t>
      </w:r>
      <w:bookmarkStart w:id="0" w:name="_GoBack"/>
      <w:bookmarkEnd w:id="0"/>
      <w:r w:rsidRPr="00F35B34">
        <w:rPr>
          <w:rFonts w:ascii="Times New Roman" w:hAnsi="Times New Roman" w:cs="Times New Roman"/>
        </w:rPr>
        <w:t xml:space="preserve"> 20</w:t>
      </w:r>
      <w:r w:rsidR="002572F7" w:rsidRPr="00F35B34">
        <w:rPr>
          <w:rFonts w:ascii="Times New Roman" w:hAnsi="Times New Roman" w:cs="Times New Roman"/>
        </w:rPr>
        <w:t>22</w:t>
      </w:r>
      <w:r w:rsidRPr="00F35B34">
        <w:rPr>
          <w:rFonts w:ascii="Times New Roman" w:hAnsi="Times New Roman" w:cs="Times New Roman"/>
        </w:rPr>
        <w:t xml:space="preserve"> г.</w:t>
      </w:r>
    </w:p>
    <w:p w14:paraId="303FA164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141F43A9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0E736511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7BF8F944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197F9978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4F2F5C7F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66FC4E0C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784B215C" w14:textId="77777777" w:rsidR="006320F5" w:rsidRPr="00F35B34" w:rsidRDefault="006320F5" w:rsidP="008926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34">
        <w:rPr>
          <w:rFonts w:ascii="Times New Roman" w:hAnsi="Times New Roman" w:cs="Times New Roman"/>
          <w:b/>
          <w:sz w:val="28"/>
          <w:szCs w:val="28"/>
        </w:rPr>
        <w:t>Порядок определения инвестиционного профиля клиента при осуществлении доверительного управления</w:t>
      </w:r>
    </w:p>
    <w:p w14:paraId="754BC20D" w14:textId="77777777" w:rsidR="006320F5" w:rsidRPr="00F35B34" w:rsidRDefault="006320F5" w:rsidP="008926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34">
        <w:rPr>
          <w:rFonts w:ascii="Times New Roman" w:hAnsi="Times New Roman" w:cs="Times New Roman"/>
          <w:b/>
          <w:sz w:val="28"/>
          <w:szCs w:val="28"/>
        </w:rPr>
        <w:t>в АКБ «Алмазэргиэнбанк» АО</w:t>
      </w:r>
    </w:p>
    <w:p w14:paraId="766061D5" w14:textId="77777777" w:rsidR="006320F5" w:rsidRPr="00F35B34" w:rsidRDefault="006320F5" w:rsidP="00632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624FB" w14:textId="77777777" w:rsidR="006320F5" w:rsidRPr="00F35B34" w:rsidRDefault="006320F5" w:rsidP="0063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34">
        <w:rPr>
          <w:rFonts w:ascii="Times New Roman" w:hAnsi="Times New Roman" w:cs="Times New Roman"/>
          <w:b/>
          <w:sz w:val="28"/>
          <w:szCs w:val="28"/>
        </w:rPr>
        <w:t>№616-ПД</w:t>
      </w:r>
    </w:p>
    <w:p w14:paraId="1D15B416" w14:textId="28F1B20B" w:rsidR="006320F5" w:rsidRPr="00F35B34" w:rsidRDefault="002572F7" w:rsidP="006320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B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A6FFB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7996CEAA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298351D6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2DE73ECF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p w14:paraId="1B614A4B" w14:textId="77777777" w:rsidR="006320F5" w:rsidRPr="00F35B34" w:rsidRDefault="006320F5" w:rsidP="006320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606" w:type="dxa"/>
        <w:jc w:val="right"/>
        <w:tblLook w:val="04A0" w:firstRow="1" w:lastRow="0" w:firstColumn="1" w:lastColumn="0" w:noHBand="0" w:noVBand="1"/>
      </w:tblPr>
      <w:tblGrid>
        <w:gridCol w:w="2321"/>
        <w:gridCol w:w="2285"/>
      </w:tblGrid>
      <w:tr w:rsidR="00F35B34" w:rsidRPr="00F35B34" w14:paraId="02727B22" w14:textId="77777777" w:rsidTr="00BF1318">
        <w:trPr>
          <w:trHeight w:val="798"/>
          <w:jc w:val="right"/>
        </w:trPr>
        <w:tc>
          <w:tcPr>
            <w:tcW w:w="2321" w:type="dxa"/>
          </w:tcPr>
          <w:p w14:paraId="7E6BD078" w14:textId="77777777" w:rsidR="006320F5" w:rsidRPr="00F35B34" w:rsidRDefault="006320F5" w:rsidP="001356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5B34">
              <w:rPr>
                <w:rFonts w:ascii="Times New Roman" w:hAnsi="Times New Roman" w:cs="Times New Roman"/>
                <w:b/>
                <w:sz w:val="20"/>
              </w:rPr>
              <w:t>Владелец документа</w:t>
            </w:r>
          </w:p>
        </w:tc>
        <w:tc>
          <w:tcPr>
            <w:tcW w:w="2285" w:type="dxa"/>
          </w:tcPr>
          <w:p w14:paraId="092998C3" w14:textId="77777777" w:rsidR="006320F5" w:rsidRPr="00F35B34" w:rsidRDefault="006320F5" w:rsidP="00BF1318">
            <w:pPr>
              <w:pStyle w:val="a3"/>
              <w:ind w:left="123"/>
              <w:rPr>
                <w:rFonts w:ascii="Times New Roman" w:hAnsi="Times New Roman" w:cs="Times New Roman"/>
                <w:sz w:val="20"/>
              </w:rPr>
            </w:pPr>
            <w:r w:rsidRPr="00F35B34">
              <w:rPr>
                <w:rFonts w:ascii="Times New Roman" w:hAnsi="Times New Roman" w:cs="Times New Roman"/>
                <w:sz w:val="20"/>
              </w:rPr>
              <w:t xml:space="preserve">Руководитель Подразделения </w:t>
            </w:r>
          </w:p>
          <w:p w14:paraId="1BD62C69" w14:textId="77777777" w:rsidR="006320F5" w:rsidRPr="00F35B34" w:rsidRDefault="006320F5" w:rsidP="00BF1318">
            <w:pPr>
              <w:pStyle w:val="a3"/>
              <w:ind w:left="123"/>
              <w:rPr>
                <w:rFonts w:ascii="Times New Roman" w:hAnsi="Times New Roman" w:cs="Times New Roman"/>
                <w:sz w:val="20"/>
              </w:rPr>
            </w:pPr>
            <w:r w:rsidRPr="00F35B34">
              <w:rPr>
                <w:rFonts w:ascii="Times New Roman" w:hAnsi="Times New Roman" w:cs="Times New Roman"/>
                <w:sz w:val="20"/>
              </w:rPr>
              <w:t>по ценным  бумагам</w:t>
            </w:r>
          </w:p>
        </w:tc>
      </w:tr>
      <w:tr w:rsidR="00F35B34" w:rsidRPr="00F35B34" w14:paraId="193F7EC2" w14:textId="77777777" w:rsidTr="00BF1318">
        <w:trPr>
          <w:trHeight w:val="643"/>
          <w:jc w:val="right"/>
        </w:trPr>
        <w:tc>
          <w:tcPr>
            <w:tcW w:w="2321" w:type="dxa"/>
          </w:tcPr>
          <w:p w14:paraId="7CEA89A9" w14:textId="77777777" w:rsidR="006320F5" w:rsidRPr="00F35B34" w:rsidRDefault="006320F5" w:rsidP="001356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5B34">
              <w:rPr>
                <w:rFonts w:ascii="Times New Roman" w:hAnsi="Times New Roman" w:cs="Times New Roman"/>
                <w:b/>
                <w:sz w:val="20"/>
              </w:rPr>
              <w:t>Задействованные подразделения</w:t>
            </w:r>
          </w:p>
        </w:tc>
        <w:tc>
          <w:tcPr>
            <w:tcW w:w="2285" w:type="dxa"/>
          </w:tcPr>
          <w:p w14:paraId="4CB00F15" w14:textId="77777777" w:rsidR="006320F5" w:rsidRPr="00F35B34" w:rsidRDefault="006320F5" w:rsidP="0013568B">
            <w:pPr>
              <w:ind w:left="282"/>
              <w:rPr>
                <w:rFonts w:ascii="Times New Roman" w:hAnsi="Times New Roman" w:cs="Times New Roman"/>
                <w:sz w:val="20"/>
              </w:rPr>
            </w:pPr>
            <w:r w:rsidRPr="00F35B3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B34" w:rsidRPr="00F35B34" w14:paraId="60F634C2" w14:textId="77777777" w:rsidTr="00BF1318">
        <w:trPr>
          <w:trHeight w:val="1261"/>
          <w:jc w:val="right"/>
        </w:trPr>
        <w:tc>
          <w:tcPr>
            <w:tcW w:w="2321" w:type="dxa"/>
          </w:tcPr>
          <w:p w14:paraId="76A197DB" w14:textId="6703116B" w:rsidR="007306E1" w:rsidRPr="00F35B34" w:rsidRDefault="007306E1" w:rsidP="007306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5B34">
              <w:rPr>
                <w:rFonts w:ascii="Times New Roman" w:hAnsi="Times New Roman" w:cs="Times New Roman"/>
                <w:b/>
                <w:sz w:val="20"/>
              </w:rPr>
              <w:t>Разработчик (-и)                                                                                                  редакции документа</w:t>
            </w:r>
          </w:p>
        </w:tc>
        <w:tc>
          <w:tcPr>
            <w:tcW w:w="2285" w:type="dxa"/>
          </w:tcPr>
          <w:p w14:paraId="304BA498" w14:textId="0F1D7535" w:rsidR="007306E1" w:rsidRPr="00F35B34" w:rsidRDefault="00BF1318" w:rsidP="00BF1318">
            <w:pPr>
              <w:ind w:left="123"/>
              <w:rPr>
                <w:rFonts w:ascii="Times New Roman" w:hAnsi="Times New Roman" w:cs="Times New Roman"/>
                <w:sz w:val="20"/>
              </w:rPr>
            </w:pPr>
            <w:r w:rsidRPr="00F35B34">
              <w:rPr>
                <w:rFonts w:ascii="Times New Roman" w:hAnsi="Times New Roman" w:cs="Times New Roman"/>
                <w:sz w:val="20"/>
              </w:rPr>
              <w:t xml:space="preserve">Подразделение по            ценным бумагам: Захаров Д.Д.                                                      Служба </w:t>
            </w:r>
            <w:proofErr w:type="gramStart"/>
            <w:r w:rsidRPr="00F35B34">
              <w:rPr>
                <w:rFonts w:ascii="Times New Roman" w:hAnsi="Times New Roman" w:cs="Times New Roman"/>
                <w:sz w:val="20"/>
              </w:rPr>
              <w:t xml:space="preserve">методологии:   </w:t>
            </w:r>
            <w:proofErr w:type="gramEnd"/>
            <w:r w:rsidRPr="00F35B34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Мохначевская Е.С.   </w:t>
            </w:r>
          </w:p>
        </w:tc>
      </w:tr>
      <w:tr w:rsidR="00F35B34" w:rsidRPr="00F35B34" w14:paraId="2DDB0C58" w14:textId="77777777" w:rsidTr="00BF1318">
        <w:trPr>
          <w:trHeight w:val="417"/>
          <w:jc w:val="right"/>
        </w:trPr>
        <w:tc>
          <w:tcPr>
            <w:tcW w:w="2321" w:type="dxa"/>
          </w:tcPr>
          <w:p w14:paraId="769BBC14" w14:textId="7573E45A" w:rsidR="007306E1" w:rsidRPr="00F35B34" w:rsidRDefault="00BF1318" w:rsidP="001356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35B34">
              <w:rPr>
                <w:rFonts w:ascii="Times New Roman" w:hAnsi="Times New Roman" w:cs="Times New Roman"/>
                <w:b/>
                <w:sz w:val="20"/>
              </w:rPr>
              <w:t xml:space="preserve">Версия документа               </w:t>
            </w:r>
          </w:p>
        </w:tc>
        <w:tc>
          <w:tcPr>
            <w:tcW w:w="2285" w:type="dxa"/>
          </w:tcPr>
          <w:p w14:paraId="4F8B4B78" w14:textId="56C0260C" w:rsidR="007306E1" w:rsidRPr="00F35B34" w:rsidRDefault="00BF1318" w:rsidP="00BF1318">
            <w:pPr>
              <w:ind w:hanging="161"/>
              <w:rPr>
                <w:rFonts w:ascii="Times New Roman" w:hAnsi="Times New Roman" w:cs="Times New Roman"/>
                <w:sz w:val="20"/>
              </w:rPr>
            </w:pPr>
            <w:r w:rsidRPr="00F35B34">
              <w:rPr>
                <w:rFonts w:ascii="Times New Roman" w:hAnsi="Times New Roman" w:cs="Times New Roman"/>
                <w:sz w:val="20"/>
              </w:rPr>
              <w:t xml:space="preserve">     3.0</w:t>
            </w:r>
          </w:p>
        </w:tc>
      </w:tr>
    </w:tbl>
    <w:p w14:paraId="33EEA20F" w14:textId="3B7D29DF" w:rsidR="007306E1" w:rsidRPr="00F35B34" w:rsidRDefault="007306E1" w:rsidP="007306E1">
      <w:pPr>
        <w:pStyle w:val="NewNormalMyNormalNewNormal"/>
        <w:spacing w:before="0"/>
        <w:rPr>
          <w:rFonts w:ascii="Times New Roman" w:hAnsi="Times New Roman"/>
          <w:sz w:val="20"/>
          <w:lang w:val="ru-RU"/>
        </w:rPr>
      </w:pPr>
      <w:r w:rsidRPr="00F35B34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</w:t>
      </w:r>
    </w:p>
    <w:p w14:paraId="21ACAF2B" w14:textId="77777777" w:rsidR="006320F5" w:rsidRPr="00F35B34" w:rsidRDefault="006320F5" w:rsidP="00D5690C">
      <w:pPr>
        <w:pStyle w:val="NewNormalMyNormalNewNormal"/>
        <w:spacing w:before="0"/>
        <w:ind w:firstLine="4962"/>
        <w:rPr>
          <w:rFonts w:ascii="Times New Roman" w:hAnsi="Times New Roman"/>
          <w:lang w:val="ru-RU"/>
        </w:rPr>
      </w:pPr>
    </w:p>
    <w:p w14:paraId="78C8CAAD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4A1448AE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0735228A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1C7ACE1E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3A08315A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675A27BA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5774C251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354F80A2" w14:textId="77777777" w:rsidR="006320F5" w:rsidRPr="00F35B34" w:rsidRDefault="006320F5" w:rsidP="006320F5">
      <w:pPr>
        <w:spacing w:after="0"/>
        <w:rPr>
          <w:rFonts w:ascii="Times New Roman" w:hAnsi="Times New Roman" w:cs="Times New Roman"/>
        </w:rPr>
      </w:pPr>
    </w:p>
    <w:p w14:paraId="46068D36" w14:textId="77777777" w:rsidR="006320F5" w:rsidRPr="00F35B34" w:rsidRDefault="006320F5" w:rsidP="006320F5">
      <w:pPr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ЯКУТСК</w:t>
      </w:r>
    </w:p>
    <w:p w14:paraId="0464199A" w14:textId="5061064E" w:rsidR="006320F5" w:rsidRPr="00F35B34" w:rsidRDefault="00D5690C" w:rsidP="006320F5">
      <w:pPr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2022</w:t>
      </w:r>
    </w:p>
    <w:p w14:paraId="353BAF2F" w14:textId="77777777" w:rsidR="00BF1318" w:rsidRPr="00F35B34" w:rsidRDefault="00BF1318" w:rsidP="006320F5">
      <w:pPr>
        <w:spacing w:after="0"/>
        <w:jc w:val="center"/>
        <w:rPr>
          <w:rFonts w:ascii="Times New Roman" w:hAnsi="Times New Roman" w:cs="Times New Roman"/>
          <w:b/>
        </w:rPr>
      </w:pPr>
    </w:p>
    <w:p w14:paraId="463A3256" w14:textId="0E89A961" w:rsidR="006320F5" w:rsidRPr="00F35B34" w:rsidRDefault="006320F5" w:rsidP="00ED1EC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</w:rPr>
        <w:lastRenderedPageBreak/>
        <w:t xml:space="preserve">Настоящий Порядок определения инвестиционного профиля клиента при осуществлении доверительного управления (далее – Порядок) разработан в соответствии с Федеральным закон от 22.04.1996 №39-ФЗ «О рынке ценных бумаг», Положением Банка России от 03.08.2015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управляющего», </w:t>
      </w:r>
      <w:r w:rsidR="0089268A" w:rsidRPr="00F35B34">
        <w:rPr>
          <w:rFonts w:ascii="Times New Roman" w:hAnsi="Times New Roman" w:cs="Times New Roman"/>
        </w:rPr>
        <w:t xml:space="preserve"> Б</w:t>
      </w:r>
      <w:r w:rsidRPr="00F35B34">
        <w:rPr>
          <w:rFonts w:ascii="Times New Roman" w:hAnsi="Times New Roman" w:cs="Times New Roman"/>
        </w:rPr>
        <w:t xml:space="preserve">азовым стандартом Банка России  совершения управляющим операций на финансовом рынке </w:t>
      </w:r>
      <w:r w:rsidR="0089268A" w:rsidRPr="00F35B34">
        <w:rPr>
          <w:rFonts w:ascii="Times New Roman" w:hAnsi="Times New Roman" w:cs="Times New Roman"/>
        </w:rPr>
        <w:t xml:space="preserve"> утв. Банком России (Про</w:t>
      </w:r>
      <w:r w:rsidR="00F0630D" w:rsidRPr="00F35B34">
        <w:rPr>
          <w:rFonts w:ascii="Times New Roman" w:hAnsi="Times New Roman" w:cs="Times New Roman"/>
        </w:rPr>
        <w:t>токол от 16.11.2017 N КФНП-40),</w:t>
      </w:r>
      <w:r w:rsidR="009D4A34" w:rsidRPr="00F35B34">
        <w:rPr>
          <w:rFonts w:ascii="Times New Roman" w:hAnsi="Times New Roman" w:cs="Times New Roman"/>
        </w:rPr>
        <w:t xml:space="preserve">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 (в новой редакции)" (утв. Банком России, протокол от 20.12.2018 N КФНП-39) (ред. от 27.09.2021), П</w:t>
      </w:r>
      <w:r w:rsidRPr="00F35B34">
        <w:rPr>
          <w:rFonts w:ascii="Times New Roman" w:hAnsi="Times New Roman" w:cs="Times New Roman"/>
        </w:rPr>
        <w:t xml:space="preserve">оложением об осуществлении  доверительного управления  в АКБ «Алмазэргиэнбанк» АО № 612-ПЛ, Регламентом признания лиц квалифицированными инвесторами и ведения реестра лиц, признанных квалифицированными инвесторами  в  АКБ «Алмазэргиэнбанк» АО  №617-Р. </w:t>
      </w:r>
      <w:r w:rsidR="0089268A" w:rsidRPr="00F35B34">
        <w:rPr>
          <w:rFonts w:ascii="Times New Roman" w:hAnsi="Times New Roman" w:cs="Times New Roman"/>
          <w:b/>
        </w:rPr>
        <w:t xml:space="preserve"> </w:t>
      </w:r>
    </w:p>
    <w:p w14:paraId="41A9FA43" w14:textId="472D9620" w:rsidR="006320F5" w:rsidRPr="00F35B34" w:rsidRDefault="006320F5" w:rsidP="007D2546">
      <w:pPr>
        <w:rPr>
          <w:rFonts w:ascii="Times New Roman" w:hAnsi="Times New Roman" w:cs="Times New Roman"/>
          <w:b/>
        </w:rPr>
      </w:pPr>
    </w:p>
    <w:p w14:paraId="30F2C132" w14:textId="3AB6DC67" w:rsidR="006320F5" w:rsidRPr="00F35B34" w:rsidRDefault="006320F5" w:rsidP="006C14BB">
      <w:pPr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1.</w:t>
      </w:r>
      <w:r w:rsidR="00D2214B" w:rsidRPr="00F35B34">
        <w:rPr>
          <w:rFonts w:ascii="Times New Roman" w:hAnsi="Times New Roman" w:cs="Times New Roman"/>
          <w:b/>
        </w:rPr>
        <w:t xml:space="preserve"> </w:t>
      </w:r>
      <w:r w:rsidRPr="00F35B34">
        <w:rPr>
          <w:rFonts w:ascii="Times New Roman" w:hAnsi="Times New Roman" w:cs="Times New Roman"/>
          <w:b/>
        </w:rPr>
        <w:t>Общие положения</w:t>
      </w:r>
    </w:p>
    <w:p w14:paraId="6BEA615F" w14:textId="77777777" w:rsidR="006320F5" w:rsidRPr="00F35B34" w:rsidRDefault="006320F5" w:rsidP="007D2546">
      <w:pPr>
        <w:spacing w:after="0"/>
        <w:ind w:left="-284" w:firstLine="426"/>
        <w:jc w:val="both"/>
        <w:rPr>
          <w:rFonts w:ascii="Times New Roman" w:hAnsi="Times New Roman" w:cs="Times New Roman"/>
        </w:rPr>
      </w:pPr>
    </w:p>
    <w:p w14:paraId="19A65AEC" w14:textId="29BDCA02" w:rsidR="006320F5" w:rsidRPr="00F35B34" w:rsidRDefault="006320F5" w:rsidP="00404011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Настоящий документ устанавливает требования и порядок определения инвестиционного профиля клиента для осуществления АКБ «Алмазэргиэнбанк» АО (далее – Банк) доверительного управления ценными бумагами и денежными средствами клиента на основании заключенного между ними договора доверительного управления. </w:t>
      </w:r>
    </w:p>
    <w:p w14:paraId="1DFAC84F" w14:textId="7424865D" w:rsidR="006320F5" w:rsidRPr="00F35B34" w:rsidRDefault="006320F5" w:rsidP="00404011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Целью Порядка является обеспечение соответствия риска портфеля клиента допустимому уровню, соответствующему инвестиционному профилю клиента.</w:t>
      </w:r>
    </w:p>
    <w:p w14:paraId="38E3377F" w14:textId="2AE76286" w:rsidR="006320F5" w:rsidRPr="00F35B34" w:rsidRDefault="006320F5" w:rsidP="00404011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Порядок распространяется на инвестиционные операции, осуществляемые в рамках лицензии профессионального участника рынка ценных бумаг на </w:t>
      </w:r>
      <w:r w:rsidR="003A11C6" w:rsidRPr="00F35B34">
        <w:rPr>
          <w:rFonts w:ascii="Times New Roman" w:hAnsi="Times New Roman" w:cs="Times New Roman"/>
        </w:rPr>
        <w:t xml:space="preserve">осуществление деятельности по </w:t>
      </w:r>
      <w:r w:rsidRPr="00F35B34">
        <w:rPr>
          <w:rFonts w:ascii="Times New Roman" w:hAnsi="Times New Roman" w:cs="Times New Roman"/>
        </w:rPr>
        <w:t>управлению ценными бумагами №098-04782-001000 от 23.02.2001 г.</w:t>
      </w:r>
    </w:p>
    <w:p w14:paraId="225C8972" w14:textId="4B2B252A" w:rsidR="006320F5" w:rsidRPr="00F35B34" w:rsidRDefault="006320F5" w:rsidP="00404011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Термины и определения, используемые в настоящем документе: </w:t>
      </w:r>
    </w:p>
    <w:p w14:paraId="53119CE0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Банк</w:t>
      </w:r>
      <w:r w:rsidRPr="00F35B34">
        <w:rPr>
          <w:rFonts w:ascii="Times New Roman" w:hAnsi="Times New Roman" w:cs="Times New Roman"/>
        </w:rPr>
        <w:t xml:space="preserve"> – АКБ «Алмазэргиэнбанк» АО;</w:t>
      </w:r>
    </w:p>
    <w:p w14:paraId="65BC1BA2" w14:textId="174386B3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Доверительное управление</w:t>
      </w:r>
      <w:r w:rsidRPr="00F35B34">
        <w:rPr>
          <w:rFonts w:ascii="Times New Roman" w:hAnsi="Times New Roman" w:cs="Times New Roman"/>
        </w:rPr>
        <w:t xml:space="preserve"> –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инструментами;</w:t>
      </w:r>
    </w:p>
    <w:p w14:paraId="7C7D0305" w14:textId="2B3AECB2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Допустимый риск</w:t>
      </w:r>
      <w:r w:rsidRPr="00F35B34">
        <w:rPr>
          <w:rFonts w:ascii="Times New Roman" w:hAnsi="Times New Roman" w:cs="Times New Roman"/>
        </w:rPr>
        <w:t xml:space="preserve"> – риск возможных убытков, связанных с доверительным управлением, который способен нести клиент, не являющийся квалифицированным инвестором, за определённый период времени;</w:t>
      </w:r>
    </w:p>
    <w:p w14:paraId="62E9C99B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Фактический риск</w:t>
      </w:r>
      <w:r w:rsidRPr="00F35B34">
        <w:rPr>
          <w:rFonts w:ascii="Times New Roman" w:hAnsi="Times New Roman" w:cs="Times New Roman"/>
        </w:rPr>
        <w:t xml:space="preserve"> – риск возможных убытков, связанных с доверительным управлением, который несет клиент за определенный период времени; </w:t>
      </w:r>
    </w:p>
    <w:p w14:paraId="3DE823A3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Инвестиционный профиль клиента</w:t>
      </w:r>
      <w:r w:rsidRPr="00F35B34">
        <w:rPr>
          <w:rFonts w:ascii="Times New Roman" w:hAnsi="Times New Roman" w:cs="Times New Roman"/>
        </w:rPr>
        <w:t xml:space="preserve"> – представляет из себя инвестиционные цели клиента на определенный период времени и риск возможных убытков, связанных с доверительным управлением, который клиент способен нести в этот период времени; </w:t>
      </w:r>
    </w:p>
    <w:p w14:paraId="0DAC0660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Инвестиционный горизонт</w:t>
      </w:r>
      <w:r w:rsidRPr="00F35B34">
        <w:rPr>
          <w:rFonts w:ascii="Times New Roman" w:hAnsi="Times New Roman" w:cs="Times New Roman"/>
        </w:rPr>
        <w:t xml:space="preserve"> – период времени, за который определяются ожидаемая доходность и допустимый риск для клиента;</w:t>
      </w:r>
    </w:p>
    <w:p w14:paraId="1B7D4268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Квалифицированный инвестор</w:t>
      </w:r>
      <w:r w:rsidRPr="00F35B34">
        <w:rPr>
          <w:rFonts w:ascii="Times New Roman" w:hAnsi="Times New Roman" w:cs="Times New Roman"/>
        </w:rPr>
        <w:t xml:space="preserve"> </w:t>
      </w:r>
      <w:r w:rsidR="00732E8F" w:rsidRPr="00F35B34">
        <w:rPr>
          <w:rFonts w:ascii="Times New Roman" w:hAnsi="Times New Roman" w:cs="Times New Roman"/>
        </w:rPr>
        <w:t xml:space="preserve">– </w:t>
      </w:r>
      <w:r w:rsidRPr="00F35B34">
        <w:rPr>
          <w:rFonts w:ascii="Times New Roman" w:hAnsi="Times New Roman" w:cs="Times New Roman"/>
        </w:rPr>
        <w:t xml:space="preserve">лица, указанные в пункте 2 статьи 51.2 Федерального закона от 22.04.1996 №39-ФЗ, а также лица, признанные квалифицированными инвесторами в соответствии с пунктами 4 и 5 </w:t>
      </w:r>
      <w:r w:rsidR="003A11C6" w:rsidRPr="00F35B34">
        <w:rPr>
          <w:rFonts w:ascii="Times New Roman" w:hAnsi="Times New Roman" w:cs="Times New Roman"/>
        </w:rPr>
        <w:t>статьи 51.2 указанного закона.</w:t>
      </w:r>
    </w:p>
    <w:p w14:paraId="2F6945BB" w14:textId="4DA1B94D" w:rsidR="006320F5" w:rsidRPr="00F35B34" w:rsidRDefault="00732E8F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Клиент</w:t>
      </w:r>
      <w:r w:rsidRPr="00F35B34">
        <w:rPr>
          <w:rFonts w:ascii="Times New Roman" w:hAnsi="Times New Roman" w:cs="Times New Roman"/>
        </w:rPr>
        <w:t xml:space="preserve"> – </w:t>
      </w:r>
      <w:r w:rsidR="006320F5" w:rsidRPr="00F35B34">
        <w:rPr>
          <w:rFonts w:ascii="Times New Roman" w:hAnsi="Times New Roman" w:cs="Times New Roman"/>
        </w:rPr>
        <w:t xml:space="preserve">юридическое или физическое лицо (учредитель управления), намеренное заключить или заключившее с </w:t>
      </w:r>
      <w:r w:rsidR="00400064" w:rsidRPr="00F35B34">
        <w:rPr>
          <w:rFonts w:ascii="Times New Roman" w:hAnsi="Times New Roman" w:cs="Times New Roman"/>
        </w:rPr>
        <w:t>Банком</w:t>
      </w:r>
      <w:r w:rsidR="006320F5" w:rsidRPr="00F35B34">
        <w:rPr>
          <w:rFonts w:ascii="Times New Roman" w:hAnsi="Times New Roman" w:cs="Times New Roman"/>
        </w:rPr>
        <w:t xml:space="preserve"> договор доверительного управления; </w:t>
      </w:r>
    </w:p>
    <w:p w14:paraId="74A4E861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Ожидаемая доходность</w:t>
      </w:r>
      <w:r w:rsidRPr="00F35B34">
        <w:rPr>
          <w:rFonts w:ascii="Times New Roman" w:hAnsi="Times New Roman" w:cs="Times New Roman"/>
        </w:rPr>
        <w:t xml:space="preserve"> – доходность от доверительного управления, которую клиент рассчитывает получить на инвестиционном горизонте;</w:t>
      </w:r>
    </w:p>
    <w:p w14:paraId="740372BA" w14:textId="77777777" w:rsidR="006320F5" w:rsidRPr="00F35B34" w:rsidRDefault="006320F5" w:rsidP="0040401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t>Стандартный инвестиционный профиль</w:t>
      </w:r>
      <w:r w:rsidRPr="00F35B34">
        <w:rPr>
          <w:rFonts w:ascii="Times New Roman" w:hAnsi="Times New Roman" w:cs="Times New Roman"/>
        </w:rPr>
        <w:t xml:space="preserve"> – инвестиционный профиль, определяемый без предоставления сведений клиентом, исходя из выбранной им стандартной стратегии управления;</w:t>
      </w:r>
    </w:p>
    <w:p w14:paraId="43554893" w14:textId="77777777" w:rsidR="006320F5" w:rsidRPr="00F35B34" w:rsidRDefault="006320F5" w:rsidP="007D2546">
      <w:p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b/>
        </w:rPr>
        <w:lastRenderedPageBreak/>
        <w:t>Стандартная стратегия управления</w:t>
      </w:r>
      <w:r w:rsidRPr="00F35B34">
        <w:rPr>
          <w:rFonts w:ascii="Times New Roman" w:hAnsi="Times New Roman" w:cs="Times New Roman"/>
        </w:rPr>
        <w:t xml:space="preserve"> – единые правила и принципы формирования состава и структуры активов, находящихся в доверительном управлении Банка, в соответствии с которыми Банк осуществляет доверительное управление ценными бумагами и денежными средствами нескольких клиентов.  При этом доверительное управление согласно Стандартной стратегии управления не подразумевает идентичный состав, диверсификацию и структуру активов для каждого клиента, чьи активы управляются в соответствии со Стандартной стратегией управления.  Перечень Стандартных стратегий управления, определяется и утверждается Банком.</w:t>
      </w:r>
    </w:p>
    <w:p w14:paraId="39CE04BF" w14:textId="77777777" w:rsidR="006320F5" w:rsidRPr="00F35B34" w:rsidRDefault="006320F5" w:rsidP="007D2546">
      <w:pPr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</w:rPr>
        <w:t xml:space="preserve"> </w:t>
      </w:r>
    </w:p>
    <w:p w14:paraId="2F98E8F5" w14:textId="4E9A98B8" w:rsidR="006320F5" w:rsidRPr="00F35B34" w:rsidRDefault="006320F5" w:rsidP="006C14BB">
      <w:pPr>
        <w:spacing w:after="0"/>
        <w:ind w:left="-284" w:firstLine="568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2.</w:t>
      </w:r>
      <w:r w:rsidR="00D2214B" w:rsidRPr="00F35B34">
        <w:rPr>
          <w:rFonts w:ascii="Times New Roman" w:hAnsi="Times New Roman" w:cs="Times New Roman"/>
          <w:b/>
        </w:rPr>
        <w:t xml:space="preserve"> </w:t>
      </w:r>
      <w:r w:rsidRPr="00F35B34">
        <w:rPr>
          <w:rFonts w:ascii="Times New Roman" w:hAnsi="Times New Roman" w:cs="Times New Roman"/>
          <w:b/>
        </w:rPr>
        <w:t>Порядок определения инвестиционного профиля клиента</w:t>
      </w:r>
    </w:p>
    <w:p w14:paraId="182DC31E" w14:textId="77777777" w:rsidR="006320F5" w:rsidRPr="00F35B34" w:rsidRDefault="006320F5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2EA30DA5" w14:textId="0619FEB4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До начала совершения сделок по договорам доверительного управления Банком определяется инвестиционный профиль и/или стандартный инвестиционный профиль клиента. </w:t>
      </w:r>
    </w:p>
    <w:p w14:paraId="404F522D" w14:textId="7E3B1EBD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профиль клиента определяется по каждому договору доверительного управления, заключенному с клиентом. Стандартный инвестиционный профиль клиента определяется по каждой Стандартной стратегии управления.</w:t>
      </w:r>
    </w:p>
    <w:p w14:paraId="3E105D04" w14:textId="29E402F6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профиль клиента определяется как:</w:t>
      </w:r>
    </w:p>
    <w:p w14:paraId="14CD4609" w14:textId="77777777" w:rsidR="006320F5" w:rsidRPr="00F35B34" w:rsidRDefault="006320F5" w:rsidP="00E0245D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•</w:t>
      </w:r>
      <w:r w:rsidRPr="00F35B34">
        <w:rPr>
          <w:rFonts w:ascii="Times New Roman" w:hAnsi="Times New Roman" w:cs="Times New Roman"/>
        </w:rPr>
        <w:tab/>
        <w:t>инвестиционный горизонт;</w:t>
      </w:r>
    </w:p>
    <w:p w14:paraId="22048A1C" w14:textId="77777777" w:rsidR="006320F5" w:rsidRPr="00F35B34" w:rsidRDefault="006320F5" w:rsidP="00E0245D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•</w:t>
      </w:r>
      <w:r w:rsidRPr="00F35B34">
        <w:rPr>
          <w:rFonts w:ascii="Times New Roman" w:hAnsi="Times New Roman" w:cs="Times New Roman"/>
        </w:rPr>
        <w:tab/>
        <w:t>ожидаемая доходность;</w:t>
      </w:r>
    </w:p>
    <w:p w14:paraId="2333088D" w14:textId="77777777" w:rsidR="006320F5" w:rsidRPr="00F35B34" w:rsidRDefault="006320F5" w:rsidP="00E0245D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•</w:t>
      </w:r>
      <w:r w:rsidRPr="00F35B34">
        <w:rPr>
          <w:rFonts w:ascii="Times New Roman" w:hAnsi="Times New Roman" w:cs="Times New Roman"/>
        </w:rPr>
        <w:tab/>
        <w:t>допустимый риск (в случае, если клиент не является квалифицированным инвестором)</w:t>
      </w:r>
    </w:p>
    <w:p w14:paraId="0ED797E5" w14:textId="39A4FFF6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Инвестиционный профиль клиента, </w:t>
      </w:r>
      <w:r w:rsidR="00E20DD4" w:rsidRPr="00F35B34">
        <w:rPr>
          <w:rFonts w:ascii="Times New Roman" w:hAnsi="Times New Roman" w:cs="Times New Roman"/>
        </w:rPr>
        <w:t xml:space="preserve">индивидуальной стратегии управления определяется в соответствии с настоящим Порядком на основе предоставляемой </w:t>
      </w:r>
      <w:r w:rsidR="00667B6A" w:rsidRPr="00F35B34">
        <w:rPr>
          <w:rFonts w:ascii="Times New Roman" w:hAnsi="Times New Roman" w:cs="Times New Roman"/>
        </w:rPr>
        <w:t>к</w:t>
      </w:r>
      <w:r w:rsidR="00E20DD4" w:rsidRPr="00F35B34">
        <w:rPr>
          <w:rFonts w:ascii="Times New Roman" w:hAnsi="Times New Roman" w:cs="Times New Roman"/>
        </w:rPr>
        <w:t>лиентом информации, содержащейся в Анкете для определения</w:t>
      </w:r>
      <w:r w:rsidR="00667B6A" w:rsidRPr="00F35B34">
        <w:rPr>
          <w:rFonts w:ascii="Times New Roman" w:hAnsi="Times New Roman" w:cs="Times New Roman"/>
        </w:rPr>
        <w:t xml:space="preserve"> и</w:t>
      </w:r>
      <w:r w:rsidR="00E20DD4" w:rsidRPr="00F35B34">
        <w:rPr>
          <w:rFonts w:ascii="Times New Roman" w:hAnsi="Times New Roman" w:cs="Times New Roman"/>
        </w:rPr>
        <w:t xml:space="preserve">нвестиционного профиля </w:t>
      </w:r>
      <w:r w:rsidR="00667B6A" w:rsidRPr="00F35B34">
        <w:rPr>
          <w:rFonts w:ascii="Times New Roman" w:hAnsi="Times New Roman" w:cs="Times New Roman"/>
        </w:rPr>
        <w:t>к</w:t>
      </w:r>
      <w:r w:rsidR="00E20DD4" w:rsidRPr="00F35B34">
        <w:rPr>
          <w:rFonts w:ascii="Times New Roman" w:hAnsi="Times New Roman" w:cs="Times New Roman"/>
        </w:rPr>
        <w:t>лиента (Приложение 1 к Порядку – для физических лиц, не являющихся к</w:t>
      </w:r>
      <w:r w:rsidR="007E2030" w:rsidRPr="00F35B34">
        <w:rPr>
          <w:rFonts w:ascii="Times New Roman" w:hAnsi="Times New Roman" w:cs="Times New Roman"/>
        </w:rPr>
        <w:t xml:space="preserve">валифицированными </w:t>
      </w:r>
      <w:proofErr w:type="gramStart"/>
      <w:r w:rsidR="007E2030" w:rsidRPr="00F35B34">
        <w:rPr>
          <w:rFonts w:ascii="Times New Roman" w:hAnsi="Times New Roman" w:cs="Times New Roman"/>
        </w:rPr>
        <w:t xml:space="preserve">инвесторами, </w:t>
      </w:r>
      <w:r w:rsidR="00E20DD4" w:rsidRPr="00F35B34">
        <w:rPr>
          <w:rFonts w:ascii="Times New Roman" w:hAnsi="Times New Roman" w:cs="Times New Roman"/>
        </w:rPr>
        <w:t xml:space="preserve"> Приложение</w:t>
      </w:r>
      <w:proofErr w:type="gramEnd"/>
      <w:r w:rsidR="00E20DD4" w:rsidRPr="00F35B34">
        <w:rPr>
          <w:rFonts w:ascii="Times New Roman" w:hAnsi="Times New Roman" w:cs="Times New Roman"/>
        </w:rPr>
        <w:t xml:space="preserve"> 2 </w:t>
      </w:r>
      <w:r w:rsidR="00BA2043" w:rsidRPr="00F35B34">
        <w:rPr>
          <w:rFonts w:ascii="Times New Roman" w:hAnsi="Times New Roman" w:cs="Times New Roman"/>
        </w:rPr>
        <w:t>– для юридических лиц, не являющихся квалифицированными инвесторами,  Приложение 3 – для квалифицированных инвесторов)</w:t>
      </w:r>
      <w:r w:rsidR="007E2030" w:rsidRPr="00F35B34">
        <w:rPr>
          <w:rFonts w:ascii="Times New Roman" w:hAnsi="Times New Roman" w:cs="Times New Roman"/>
        </w:rPr>
        <w:t xml:space="preserve">. </w:t>
      </w:r>
    </w:p>
    <w:p w14:paraId="41F26DA6" w14:textId="450CA501" w:rsidR="00BA2043" w:rsidRPr="00F35B34" w:rsidRDefault="00BA2043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В случае, если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 является квалифицированным инвестором,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 предоставляет Банку документы, подтверждающие присвоение ему статуса «квалифицированный инвестор».</w:t>
      </w:r>
    </w:p>
    <w:p w14:paraId="77DBBB6C" w14:textId="52F0AF4A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При определении инвестиционного профиля клиента, не являющегося квалифицированным инвестором, инвестиционный горизонт определяется согласно разделу 4 настоящего Порядка, допустимый риск</w:t>
      </w:r>
      <w:r w:rsidR="009C6358" w:rsidRPr="00F35B34">
        <w:rPr>
          <w:rFonts w:ascii="Times New Roman" w:hAnsi="Times New Roman" w:cs="Times New Roman"/>
        </w:rPr>
        <w:t xml:space="preserve"> определяется согласно разделу 5</w:t>
      </w:r>
      <w:r w:rsidRPr="00F35B34">
        <w:rPr>
          <w:rFonts w:ascii="Times New Roman" w:hAnsi="Times New Roman" w:cs="Times New Roman"/>
        </w:rPr>
        <w:t xml:space="preserve"> в зависимости от сведений, указанных клиентом в анкете, а ожидаемая доходность устанавливается в зависимости от определенного для клиента допустимого риска в соответствии с разделом 6 настоящего Порядка. </w:t>
      </w:r>
    </w:p>
    <w:p w14:paraId="0C5E4F86" w14:textId="04B6513B" w:rsidR="006320F5" w:rsidRPr="00F35B34" w:rsidRDefault="006320F5" w:rsidP="005B1A16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не проверяет достоверность сведений, предоставленных клиентом для определения его инвестиционного профиля. При определении инвестиционного профиля Банк информирует клиента о рисках предоставления клиентом недостоверной информации для определения его инвестиционного профиля. </w:t>
      </w:r>
    </w:p>
    <w:p w14:paraId="191D7E74" w14:textId="1DB7DF9D" w:rsidR="006320F5" w:rsidRPr="00F35B34" w:rsidRDefault="006320F5" w:rsidP="00961F05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До начала совершения сделок по договору доверительного управления Банк информирует клиента о том, что Банк не гарантирует достижения ожидаемой доходности, определенной в инвестиционном профиле и (или) в стандартном инвестиционном профиле клиента.</w:t>
      </w:r>
    </w:p>
    <w:p w14:paraId="1B88F984" w14:textId="031E767E" w:rsidR="006320F5" w:rsidRPr="00F35B34" w:rsidRDefault="006320F5" w:rsidP="00961F05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осуществляет доверительное управление только при условии получения письменного согласия клиента с определенным для него инвестиционным профилем и/или стандартным инвестиционным профилем. </w:t>
      </w:r>
    </w:p>
    <w:p w14:paraId="70D8FA77" w14:textId="58575601" w:rsidR="006320F5" w:rsidRPr="00F35B34" w:rsidRDefault="006320F5" w:rsidP="00961F05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Инвестиционный профиль клиента </w:t>
      </w:r>
      <w:r w:rsidR="00CB68D1" w:rsidRPr="00F35B34">
        <w:rPr>
          <w:rFonts w:ascii="Times New Roman" w:hAnsi="Times New Roman" w:cs="Times New Roman"/>
        </w:rPr>
        <w:t xml:space="preserve">(Приложение 7) </w:t>
      </w:r>
      <w:r w:rsidRPr="00F35B34">
        <w:rPr>
          <w:rFonts w:ascii="Times New Roman" w:hAnsi="Times New Roman" w:cs="Times New Roman"/>
        </w:rPr>
        <w:t>отражается Банком в документе, подписанном уполномоченным лицом Банка, составленном в бумажной форме в двух экземплярах, один из которых передается (направляется) клиенту, другой подлежит хранению Банком.</w:t>
      </w:r>
    </w:p>
    <w:p w14:paraId="4F0DAC4D" w14:textId="230BA1D4" w:rsidR="006320F5" w:rsidRPr="00F35B34" w:rsidRDefault="00961F05" w:rsidP="00961F05">
      <w:pPr>
        <w:pStyle w:val="a3"/>
        <w:numPr>
          <w:ilvl w:val="0"/>
          <w:numId w:val="1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С</w:t>
      </w:r>
      <w:r w:rsidR="006320F5" w:rsidRPr="00F35B34">
        <w:rPr>
          <w:rFonts w:ascii="Times New Roman" w:hAnsi="Times New Roman" w:cs="Times New Roman"/>
        </w:rPr>
        <w:t xml:space="preserve">формированный инвестиционный профиль предоставляется клиенту на согласование не позднее 1 рабочего дня с момента подачи клиентом всех необходимых документов и сведений для заключения Договора доверительного управления. </w:t>
      </w:r>
    </w:p>
    <w:p w14:paraId="5A97F697" w14:textId="2E04628E" w:rsidR="006320F5" w:rsidRPr="00F35B34" w:rsidRDefault="006320F5" w:rsidP="00201F83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Если это предусмотрено договором доверительного управления, инвестиционный профиль клиента может быть пересмотрен Банком с согласия клиента в случаях, предусмотренных Базовым стандартом совершения управляющим операций на финансовом рынке или нормативными актами </w:t>
      </w:r>
      <w:r w:rsidRPr="00F35B34">
        <w:rPr>
          <w:rFonts w:ascii="Times New Roman" w:hAnsi="Times New Roman" w:cs="Times New Roman"/>
        </w:rPr>
        <w:lastRenderedPageBreak/>
        <w:t xml:space="preserve">Банка России.  В случае пересмотра инвестиционного профиля Банк составляет и направляет клиенту сообщение о присвоении инвестиционного профиля в порядке, предусмотренном </w:t>
      </w:r>
      <w:r w:rsidR="00AC2500" w:rsidRPr="00F35B34">
        <w:rPr>
          <w:rFonts w:ascii="Times New Roman" w:hAnsi="Times New Roman" w:cs="Times New Roman"/>
        </w:rPr>
        <w:t xml:space="preserve">п 2.17 </w:t>
      </w:r>
      <w:r w:rsidRPr="00F35B34">
        <w:rPr>
          <w:rFonts w:ascii="Times New Roman" w:hAnsi="Times New Roman" w:cs="Times New Roman"/>
        </w:rPr>
        <w:t>настоящего Порядка.</w:t>
      </w:r>
    </w:p>
    <w:p w14:paraId="12DBD8EC" w14:textId="4A608772" w:rsidR="006320F5" w:rsidRPr="00F35B34" w:rsidRDefault="006320F5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Банк не осуществляет управление ценными бумагами и денежными средствами клиента в случае, если для него не определен инвестиционный профиль в соответствии с настоящим Порядком, либо в случае отсутствия согласия клиента с указанным инвестиционным профилем.</w:t>
      </w:r>
    </w:p>
    <w:p w14:paraId="171D95F3" w14:textId="2C478258" w:rsidR="006320F5" w:rsidRPr="00F35B34" w:rsidRDefault="006320F5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 последующем Банк осуществляет управление ценными бумагами и денежными средствами клиента, принимая все зависящие от него разумные меры, исходя из установленного инвестиционного профиля клиента.</w:t>
      </w:r>
    </w:p>
    <w:p w14:paraId="5B0277AD" w14:textId="42790614" w:rsidR="00D70043" w:rsidRPr="00F35B34" w:rsidRDefault="00D70043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осуществляет пересмотр </w:t>
      </w:r>
      <w:r w:rsidR="00F57523" w:rsidRPr="00F35B34">
        <w:rPr>
          <w:rFonts w:ascii="Times New Roman" w:hAnsi="Times New Roman" w:cs="Times New Roman"/>
        </w:rPr>
        <w:t>и</w:t>
      </w:r>
      <w:r w:rsidR="00ED01AB" w:rsidRPr="00F35B34">
        <w:rPr>
          <w:rFonts w:ascii="Times New Roman" w:hAnsi="Times New Roman" w:cs="Times New Roman"/>
        </w:rPr>
        <w:t>нвестиционного профиля клиента по истечении инвестиционного горизонта, определенного в действующем инвестиционном профиле, или при наличии оснований, предусмотренных пу</w:t>
      </w:r>
      <w:r w:rsidR="00912B78" w:rsidRPr="00F35B34">
        <w:rPr>
          <w:rFonts w:ascii="Times New Roman" w:hAnsi="Times New Roman" w:cs="Times New Roman"/>
        </w:rPr>
        <w:t>нктом 2.16</w:t>
      </w:r>
      <w:r w:rsidR="00CB26D6" w:rsidRPr="00F35B34">
        <w:rPr>
          <w:rFonts w:ascii="Times New Roman" w:hAnsi="Times New Roman" w:cs="Times New Roman"/>
        </w:rPr>
        <w:t xml:space="preserve"> настоящего Порядка</w:t>
      </w:r>
      <w:r w:rsidR="00ED01AB" w:rsidRPr="00F35B34">
        <w:rPr>
          <w:rFonts w:ascii="Times New Roman" w:hAnsi="Times New Roman" w:cs="Times New Roman"/>
        </w:rPr>
        <w:t>.</w:t>
      </w:r>
    </w:p>
    <w:p w14:paraId="6CE6B6B8" w14:textId="07464F43" w:rsidR="00750AAB" w:rsidRPr="00F35B34" w:rsidRDefault="00912B78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Основаниями для</w:t>
      </w:r>
      <w:r w:rsidR="00750AAB" w:rsidRPr="00F35B34">
        <w:rPr>
          <w:rFonts w:ascii="Times New Roman" w:hAnsi="Times New Roman" w:cs="Times New Roman"/>
        </w:rPr>
        <w:t xml:space="preserve"> пересмотра Банком инвестиционного профиля клиента являются:</w:t>
      </w:r>
    </w:p>
    <w:p w14:paraId="2D854FFC" w14:textId="359E0552" w:rsidR="00750AAB" w:rsidRPr="00F35B34" w:rsidRDefault="00912B78" w:rsidP="00404011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изменение</w:t>
      </w:r>
      <w:r w:rsidR="00750AAB" w:rsidRPr="00F35B34">
        <w:rPr>
          <w:rFonts w:ascii="Times New Roman" w:hAnsi="Times New Roman" w:cs="Times New Roman"/>
        </w:rPr>
        <w:t xml:space="preserve"> сведений, ранее предоставленных клиентом;</w:t>
      </w:r>
    </w:p>
    <w:p w14:paraId="6E5A3E53" w14:textId="7E8ED888" w:rsidR="00750AAB" w:rsidRPr="00F35B34" w:rsidRDefault="00750AAB" w:rsidP="00404011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изменение экономической ситуации в Российской Федерации, в том числе изменение ключевой ставки Банка России;</w:t>
      </w:r>
    </w:p>
    <w:p w14:paraId="1715F6CF" w14:textId="4DCF4046" w:rsidR="00750AAB" w:rsidRPr="00F35B34" w:rsidRDefault="00750AAB" w:rsidP="00404011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внесение изменений в законодательство Российской Федерации, в том числе нормативные акты Банка России;</w:t>
      </w:r>
    </w:p>
    <w:p w14:paraId="40AA1208" w14:textId="2400601A" w:rsidR="00750AAB" w:rsidRPr="00F35B34" w:rsidRDefault="00750AAB" w:rsidP="00404011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внесение изменений в Базовый стандарт;</w:t>
      </w:r>
    </w:p>
    <w:p w14:paraId="57828489" w14:textId="2FF42578" w:rsidR="00750AAB" w:rsidRPr="00F35B34" w:rsidRDefault="00750AAB" w:rsidP="00404011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внесение изменений в соответствующий внутренний стандарт (стандарты) НАУФОР.</w:t>
      </w:r>
    </w:p>
    <w:p w14:paraId="068255DA" w14:textId="7ADBC28C" w:rsidR="00750AAB" w:rsidRPr="00F35B34" w:rsidRDefault="001054C4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вправе изменить инвестиционный профиль </w:t>
      </w:r>
      <w:r w:rsidR="00F57523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лиента только с его согласия</w:t>
      </w:r>
      <w:r w:rsidR="00894B32" w:rsidRPr="00F35B34">
        <w:rPr>
          <w:rFonts w:ascii="Times New Roman" w:hAnsi="Times New Roman" w:cs="Times New Roman"/>
        </w:rPr>
        <w:t>. Если в течени</w:t>
      </w:r>
      <w:r w:rsidR="00912B78" w:rsidRPr="00F35B34">
        <w:rPr>
          <w:rFonts w:ascii="Times New Roman" w:hAnsi="Times New Roman" w:cs="Times New Roman"/>
        </w:rPr>
        <w:t>е</w:t>
      </w:r>
      <w:r w:rsidR="00894B32" w:rsidRPr="00F35B34">
        <w:rPr>
          <w:rFonts w:ascii="Times New Roman" w:hAnsi="Times New Roman" w:cs="Times New Roman"/>
        </w:rPr>
        <w:t xml:space="preserve"> 15</w:t>
      </w:r>
      <w:r w:rsidR="00DF0844" w:rsidRPr="00F35B34">
        <w:rPr>
          <w:rFonts w:ascii="Times New Roman" w:hAnsi="Times New Roman" w:cs="Times New Roman"/>
        </w:rPr>
        <w:t xml:space="preserve"> (</w:t>
      </w:r>
      <w:r w:rsidR="00912B78" w:rsidRPr="00F35B34">
        <w:rPr>
          <w:rFonts w:ascii="Times New Roman" w:hAnsi="Times New Roman" w:cs="Times New Roman"/>
        </w:rPr>
        <w:t>пятнадцати</w:t>
      </w:r>
      <w:r w:rsidR="00AF677B" w:rsidRPr="00F35B34">
        <w:rPr>
          <w:rFonts w:ascii="Times New Roman" w:hAnsi="Times New Roman" w:cs="Times New Roman"/>
        </w:rPr>
        <w:t xml:space="preserve">) рабочих дней со дня направления клиенту нового инвестиционного профиля Банком </w:t>
      </w:r>
      <w:r w:rsidR="00527ECD" w:rsidRPr="00F35B34">
        <w:rPr>
          <w:rFonts w:ascii="Times New Roman" w:hAnsi="Times New Roman" w:cs="Times New Roman"/>
        </w:rPr>
        <w:t xml:space="preserve">не получено от </w:t>
      </w:r>
      <w:r w:rsidR="00F57523" w:rsidRPr="00F35B34">
        <w:rPr>
          <w:rFonts w:ascii="Times New Roman" w:hAnsi="Times New Roman" w:cs="Times New Roman"/>
        </w:rPr>
        <w:t>к</w:t>
      </w:r>
      <w:r w:rsidR="00527ECD" w:rsidRPr="00F35B34">
        <w:rPr>
          <w:rFonts w:ascii="Times New Roman" w:hAnsi="Times New Roman" w:cs="Times New Roman"/>
        </w:rPr>
        <w:t xml:space="preserve">лиента </w:t>
      </w:r>
      <w:r w:rsidR="00B805FF" w:rsidRPr="00F35B34">
        <w:rPr>
          <w:rFonts w:ascii="Times New Roman" w:hAnsi="Times New Roman" w:cs="Times New Roman"/>
        </w:rPr>
        <w:t>поручение на вывод всех активов из управления Банка</w:t>
      </w:r>
      <w:r w:rsidR="00AF677B" w:rsidRPr="00F35B34">
        <w:rPr>
          <w:rFonts w:ascii="Times New Roman" w:hAnsi="Times New Roman" w:cs="Times New Roman"/>
        </w:rPr>
        <w:t>, составленное по установленной форме</w:t>
      </w:r>
      <w:r w:rsidR="00374441" w:rsidRPr="00F35B34">
        <w:rPr>
          <w:rFonts w:ascii="Times New Roman" w:hAnsi="Times New Roman" w:cs="Times New Roman"/>
        </w:rPr>
        <w:t xml:space="preserve">, согласие </w:t>
      </w:r>
      <w:r w:rsidR="00F57523" w:rsidRPr="00F35B34">
        <w:rPr>
          <w:rFonts w:ascii="Times New Roman" w:hAnsi="Times New Roman" w:cs="Times New Roman"/>
        </w:rPr>
        <w:t>к</w:t>
      </w:r>
      <w:r w:rsidR="00374441" w:rsidRPr="00F35B34">
        <w:rPr>
          <w:rFonts w:ascii="Times New Roman" w:hAnsi="Times New Roman" w:cs="Times New Roman"/>
        </w:rPr>
        <w:t>лиента с новым инвестиционным профилем считается полученным Банком.</w:t>
      </w:r>
    </w:p>
    <w:p w14:paraId="725E77AF" w14:textId="108E1A35" w:rsidR="006320F5" w:rsidRPr="00F35B34" w:rsidRDefault="001054C4" w:rsidP="00404011">
      <w:pPr>
        <w:pStyle w:val="a3"/>
        <w:numPr>
          <w:ilvl w:val="0"/>
          <w:numId w:val="10"/>
        </w:numPr>
        <w:tabs>
          <w:tab w:val="left" w:pos="142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До момента изменения инвестиционного профиля клиента в соответствии с п. 2.1</w:t>
      </w:r>
      <w:r w:rsidR="00E76CF8" w:rsidRPr="00F35B34">
        <w:rPr>
          <w:rFonts w:ascii="Times New Roman" w:hAnsi="Times New Roman" w:cs="Times New Roman"/>
        </w:rPr>
        <w:t>6</w:t>
      </w:r>
      <w:r w:rsidRPr="00F35B34">
        <w:rPr>
          <w:rFonts w:ascii="Times New Roman" w:hAnsi="Times New Roman" w:cs="Times New Roman"/>
        </w:rPr>
        <w:t xml:space="preserve"> настоящего Порядка, Банк руководствуется ранее определенным </w:t>
      </w:r>
      <w:r w:rsidR="00F57523" w:rsidRPr="00F35B34">
        <w:rPr>
          <w:rFonts w:ascii="Times New Roman" w:hAnsi="Times New Roman" w:cs="Times New Roman"/>
        </w:rPr>
        <w:t>инвестиционным профилем к</w:t>
      </w:r>
      <w:r w:rsidRPr="00F35B34">
        <w:rPr>
          <w:rFonts w:ascii="Times New Roman" w:hAnsi="Times New Roman" w:cs="Times New Roman"/>
        </w:rPr>
        <w:t>лиента.</w:t>
      </w:r>
    </w:p>
    <w:p w14:paraId="537F562E" w14:textId="0F6F556A" w:rsidR="00B923E3" w:rsidRPr="00F35B34" w:rsidRDefault="00B923E3" w:rsidP="00404011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Инвестиционный профиль клиента, документы и (или) информация, на основании которых определен указанный инвестиционный профиль, помещаются в досье клиента, </w:t>
      </w:r>
      <w:proofErr w:type="gramStart"/>
      <w:r w:rsidRPr="00F35B34">
        <w:rPr>
          <w:rFonts w:ascii="Times New Roman" w:hAnsi="Times New Roman" w:cs="Times New Roman"/>
        </w:rPr>
        <w:t>которое  формируется</w:t>
      </w:r>
      <w:proofErr w:type="gramEnd"/>
      <w:r w:rsidRPr="00F35B34">
        <w:rPr>
          <w:rFonts w:ascii="Times New Roman" w:hAnsi="Times New Roman" w:cs="Times New Roman"/>
        </w:rPr>
        <w:t xml:space="preserve"> согласно требованиям  раздела 6 Положения  об осуществлении доверительного управления  №612-ПЛ, и хранятся Банком в течение срока действия договора доверительного управления с этим клиентом, а также в течение 5 лет с момента закрытия счета клиента. </w:t>
      </w:r>
    </w:p>
    <w:p w14:paraId="390708F4" w14:textId="7CEEC167" w:rsidR="006320F5" w:rsidRPr="00F35B34" w:rsidRDefault="006320F5" w:rsidP="00404011">
      <w:pPr>
        <w:tabs>
          <w:tab w:val="left" w:pos="142"/>
          <w:tab w:val="left" w:pos="993"/>
        </w:tabs>
        <w:ind w:firstLine="284"/>
        <w:rPr>
          <w:rFonts w:ascii="Times New Roman" w:hAnsi="Times New Roman" w:cs="Times New Roman"/>
          <w:b/>
        </w:rPr>
      </w:pPr>
    </w:p>
    <w:p w14:paraId="60CC5DA1" w14:textId="630A0F7A" w:rsidR="006320F5" w:rsidRPr="00F35B34" w:rsidRDefault="006320F5" w:rsidP="00404011">
      <w:pPr>
        <w:tabs>
          <w:tab w:val="left" w:pos="142"/>
          <w:tab w:val="left" w:pos="993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3.</w:t>
      </w:r>
      <w:r w:rsidR="00D2214B" w:rsidRPr="00F35B34">
        <w:rPr>
          <w:rFonts w:ascii="Times New Roman" w:hAnsi="Times New Roman" w:cs="Times New Roman"/>
          <w:b/>
        </w:rPr>
        <w:t xml:space="preserve"> </w:t>
      </w:r>
      <w:r w:rsidRPr="00F35B34">
        <w:rPr>
          <w:rFonts w:ascii="Times New Roman" w:hAnsi="Times New Roman" w:cs="Times New Roman"/>
          <w:b/>
        </w:rPr>
        <w:t>Порядок определения стандартного инвестиционного профиля</w:t>
      </w:r>
    </w:p>
    <w:p w14:paraId="1B30CDD2" w14:textId="77777777" w:rsidR="006320F5" w:rsidRPr="00F35B34" w:rsidRDefault="006320F5" w:rsidP="00404011">
      <w:pPr>
        <w:tabs>
          <w:tab w:val="left" w:pos="142"/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14:paraId="3A54AD15" w14:textId="292E49B9" w:rsidR="006320F5" w:rsidRPr="00F35B34" w:rsidRDefault="006320F5" w:rsidP="00404011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управлении, может 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14:paraId="5D80D685" w14:textId="012E7C7B" w:rsidR="006320F5" w:rsidRPr="00F35B34" w:rsidRDefault="001A42EE" w:rsidP="00404011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Б</w:t>
      </w:r>
      <w:r w:rsidR="006320F5" w:rsidRPr="00F35B34">
        <w:rPr>
          <w:rFonts w:ascii="Times New Roman" w:hAnsi="Times New Roman" w:cs="Times New Roman"/>
        </w:rPr>
        <w:t>анк размещает на своем официальном сайте в информационно-телекоммуникационной сети «Интернет» и/или предоставляет клиентам следующую информацию о стандартной стратегии управления, предназначенной для клиентов, не являющихся квалифицированными инвесторами:</w:t>
      </w:r>
    </w:p>
    <w:p w14:paraId="32B288A1" w14:textId="7C2EEF25" w:rsidR="006320F5" w:rsidRPr="00F35B34" w:rsidRDefault="006320F5" w:rsidP="00404011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цель инвестирования;</w:t>
      </w:r>
    </w:p>
    <w:p w14:paraId="063059F0" w14:textId="47056549" w:rsidR="006320F5" w:rsidRPr="00F35B34" w:rsidRDefault="006320F5" w:rsidP="00404011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предполагаемый возраст физического лица, которому может предлагаться данная стандартная стратегия управления (только для физических лиц);</w:t>
      </w:r>
    </w:p>
    <w:p w14:paraId="07F710AD" w14:textId="3A99DC85" w:rsidR="006320F5" w:rsidRPr="00F35B34" w:rsidRDefault="006320F5" w:rsidP="00404011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примерные среднемесячные доходы и примерные среднемесячные расходы за последние 12 месяцев физического лица, которому может предлагаться данная стандартная стратегия управлени</w:t>
      </w:r>
      <w:r w:rsidR="00256731" w:rsidRPr="00F35B34">
        <w:rPr>
          <w:rFonts w:ascii="Times New Roman" w:hAnsi="Times New Roman" w:cs="Times New Roman"/>
        </w:rPr>
        <w:t>я (только для физических лиц);</w:t>
      </w:r>
    </w:p>
    <w:p w14:paraId="2C477113" w14:textId="3C9CA39E" w:rsidR="006320F5" w:rsidRPr="00F35B34" w:rsidRDefault="006320F5" w:rsidP="00404011">
      <w:pPr>
        <w:pStyle w:val="a3"/>
        <w:numPr>
          <w:ilvl w:val="0"/>
          <w:numId w:val="18"/>
        </w:numPr>
        <w:tabs>
          <w:tab w:val="left" w:pos="142"/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перечень финансовых инструментов, в которые могут быть вложены средства клиента. </w:t>
      </w:r>
    </w:p>
    <w:p w14:paraId="4BC9B088" w14:textId="46A4A5E6" w:rsidR="006320F5" w:rsidRPr="00F35B34" w:rsidRDefault="006320F5" w:rsidP="00997617">
      <w:pPr>
        <w:pStyle w:val="a3"/>
        <w:numPr>
          <w:ilvl w:val="0"/>
          <w:numId w:val="1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lastRenderedPageBreak/>
        <w:t xml:space="preserve">Стандартный инвестиционный профиль определяется исходя из существа стандартной стратегии управления, выбранной клиентом, и без представления клиентами информации для его определения. </w:t>
      </w:r>
    </w:p>
    <w:p w14:paraId="138627F4" w14:textId="51F65FFA" w:rsidR="006320F5" w:rsidRPr="00F35B34" w:rsidRDefault="006320F5" w:rsidP="00997617">
      <w:pPr>
        <w:pStyle w:val="a3"/>
        <w:numPr>
          <w:ilvl w:val="0"/>
          <w:numId w:val="1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горизонт для стандартного инвестиционного профиля составляет один год, если иное не предусмотрено стандартной стратегией управления.</w:t>
      </w:r>
    </w:p>
    <w:p w14:paraId="1CB76740" w14:textId="13693B09" w:rsidR="006320F5" w:rsidRPr="00F35B34" w:rsidRDefault="006320F5" w:rsidP="00997617">
      <w:pPr>
        <w:pStyle w:val="a3"/>
        <w:numPr>
          <w:ilvl w:val="0"/>
          <w:numId w:val="1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Перечень стандартных инвестиционных профилей п</w:t>
      </w:r>
      <w:r w:rsidR="00CB68D1" w:rsidRPr="00F35B34">
        <w:rPr>
          <w:rFonts w:ascii="Times New Roman" w:hAnsi="Times New Roman" w:cs="Times New Roman"/>
        </w:rPr>
        <w:t>риведен в приложениях №4, 5 и 6</w:t>
      </w:r>
      <w:r w:rsidR="00256731" w:rsidRPr="00F35B34">
        <w:rPr>
          <w:rFonts w:ascii="Times New Roman" w:hAnsi="Times New Roman" w:cs="Times New Roman"/>
        </w:rPr>
        <w:t xml:space="preserve"> к настоящему Порядку.</w:t>
      </w:r>
    </w:p>
    <w:p w14:paraId="0EE15E4E" w14:textId="7DE34A08" w:rsidR="00527ECD" w:rsidRPr="00F35B34" w:rsidRDefault="00D63F2A" w:rsidP="00997617">
      <w:pPr>
        <w:pStyle w:val="a3"/>
        <w:numPr>
          <w:ilvl w:val="0"/>
          <w:numId w:val="1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Банк осуществляет пересмотр с</w:t>
      </w:r>
      <w:r w:rsidR="00527ECD" w:rsidRPr="00F35B34">
        <w:rPr>
          <w:rFonts w:ascii="Times New Roman" w:hAnsi="Times New Roman" w:cs="Times New Roman"/>
        </w:rPr>
        <w:t xml:space="preserve">тандартного инвестиционного профиля </w:t>
      </w:r>
      <w:r w:rsidRPr="00F35B34">
        <w:rPr>
          <w:rFonts w:ascii="Times New Roman" w:hAnsi="Times New Roman" w:cs="Times New Roman"/>
        </w:rPr>
        <w:t>к</w:t>
      </w:r>
      <w:r w:rsidR="00527ECD" w:rsidRPr="00F35B34">
        <w:rPr>
          <w:rFonts w:ascii="Times New Roman" w:hAnsi="Times New Roman" w:cs="Times New Roman"/>
        </w:rPr>
        <w:t>лиента по истечении инвестиционного горизонта, определенного в действующем стандартном инвестиционном профиле, и при наличии оснований, предусмотренных пунктом 3.7 настоящего</w:t>
      </w:r>
      <w:r w:rsidR="00CB26D6" w:rsidRPr="00F35B34">
        <w:rPr>
          <w:rFonts w:ascii="Times New Roman" w:hAnsi="Times New Roman" w:cs="Times New Roman"/>
        </w:rPr>
        <w:t xml:space="preserve"> Порядка</w:t>
      </w:r>
      <w:r w:rsidR="00527ECD" w:rsidRPr="00F35B34">
        <w:rPr>
          <w:rFonts w:ascii="Times New Roman" w:hAnsi="Times New Roman" w:cs="Times New Roman"/>
        </w:rPr>
        <w:t>.</w:t>
      </w:r>
    </w:p>
    <w:p w14:paraId="0711A91A" w14:textId="07ECF405" w:rsidR="00527ECD" w:rsidRPr="00F35B34" w:rsidRDefault="00527ECD" w:rsidP="00D63F2A">
      <w:pPr>
        <w:pStyle w:val="a3"/>
        <w:numPr>
          <w:ilvl w:val="0"/>
          <w:numId w:val="17"/>
        </w:num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Основаниями для пересмотра </w:t>
      </w:r>
      <w:r w:rsidR="00D63F2A" w:rsidRPr="00F35B34">
        <w:rPr>
          <w:rFonts w:ascii="Times New Roman" w:hAnsi="Times New Roman" w:cs="Times New Roman"/>
        </w:rPr>
        <w:t>с</w:t>
      </w:r>
      <w:r w:rsidRPr="00F35B34">
        <w:rPr>
          <w:rFonts w:ascii="Times New Roman" w:hAnsi="Times New Roman" w:cs="Times New Roman"/>
        </w:rPr>
        <w:t>тандартного инвестиционного профиля являются:</w:t>
      </w:r>
    </w:p>
    <w:p w14:paraId="7DE86546" w14:textId="3F2E95C7" w:rsidR="00527ECD" w:rsidRPr="00F35B34" w:rsidRDefault="00527ECD" w:rsidP="00E938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Изменение экономической ситуации в Российской Федерации, в том числе изменение ключевой ставки Банка России;</w:t>
      </w:r>
    </w:p>
    <w:p w14:paraId="3F48F1F0" w14:textId="7C231CE6" w:rsidR="00527ECD" w:rsidRPr="00F35B34" w:rsidRDefault="00527ECD" w:rsidP="00E938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Внесение изменений в законодательство Российской Федерации, в том </w:t>
      </w:r>
      <w:r w:rsidR="0033132C" w:rsidRPr="00F35B34">
        <w:rPr>
          <w:rFonts w:ascii="Times New Roman" w:hAnsi="Times New Roman" w:cs="Times New Roman"/>
        </w:rPr>
        <w:t>числе нормативные акты Банка Росс</w:t>
      </w:r>
      <w:r w:rsidRPr="00F35B34">
        <w:rPr>
          <w:rFonts w:ascii="Times New Roman" w:hAnsi="Times New Roman" w:cs="Times New Roman"/>
        </w:rPr>
        <w:t>ии;</w:t>
      </w:r>
    </w:p>
    <w:p w14:paraId="6E4A6E41" w14:textId="3511B325" w:rsidR="00527ECD" w:rsidRPr="00F35B34" w:rsidRDefault="0033132C" w:rsidP="00E938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Внесение изменений в Базовый стандарт;</w:t>
      </w:r>
    </w:p>
    <w:p w14:paraId="4F4511C7" w14:textId="60972B74" w:rsidR="0033132C" w:rsidRPr="00F35B34" w:rsidRDefault="0033132C" w:rsidP="00E9382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Внесение изменений в соответствующий внутренний стандарт (стандарты) НАУФОР;</w:t>
      </w:r>
      <w:r w:rsidR="004D1BD2" w:rsidRPr="00F35B34">
        <w:rPr>
          <w:rFonts w:ascii="Times New Roman" w:hAnsi="Times New Roman" w:cs="Times New Roman"/>
        </w:rPr>
        <w:t xml:space="preserve"> </w:t>
      </w:r>
    </w:p>
    <w:p w14:paraId="5C0D92DF" w14:textId="631484A3" w:rsidR="002620DC" w:rsidRPr="00F35B34" w:rsidRDefault="00567981" w:rsidP="00C80985">
      <w:pPr>
        <w:pStyle w:val="a3"/>
        <w:numPr>
          <w:ilvl w:val="0"/>
          <w:numId w:val="1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осуществляет доверительное управление только при условии получения письменного согласия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 с определенным для него стандартным инвестиционным профилем. Указанное согласие считается полученным от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 также в том случае, если после внесения Банком изменений в </w:t>
      </w:r>
      <w:r w:rsidR="00614145" w:rsidRPr="00F35B34">
        <w:rPr>
          <w:rFonts w:ascii="Times New Roman" w:hAnsi="Times New Roman" w:cs="Times New Roman"/>
        </w:rPr>
        <w:t>с</w:t>
      </w:r>
      <w:r w:rsidRPr="00F35B34">
        <w:rPr>
          <w:rFonts w:ascii="Times New Roman" w:hAnsi="Times New Roman" w:cs="Times New Roman"/>
        </w:rPr>
        <w:t>тандартный инвестиционный профиль клиент не подал Банку поручение на вывод всех актив</w:t>
      </w:r>
      <w:r w:rsidR="00614145" w:rsidRPr="00F35B34">
        <w:rPr>
          <w:rFonts w:ascii="Times New Roman" w:hAnsi="Times New Roman" w:cs="Times New Roman"/>
        </w:rPr>
        <w:t>ов из управления Банка в течение</w:t>
      </w:r>
      <w:r w:rsidRPr="00F35B34">
        <w:rPr>
          <w:rFonts w:ascii="Times New Roman" w:hAnsi="Times New Roman" w:cs="Times New Roman"/>
        </w:rPr>
        <w:t xml:space="preserve"> 15 (пятнадцати) рабочих дней с даты размещения на официальном сайте Банка в сети «Интернет» об изменении стандартного инвестиционного профиля.</w:t>
      </w:r>
    </w:p>
    <w:p w14:paraId="4300D126" w14:textId="77777777" w:rsidR="006320F5" w:rsidRPr="00F35B34" w:rsidRDefault="006320F5" w:rsidP="007D2546">
      <w:pPr>
        <w:rPr>
          <w:rFonts w:ascii="Times New Roman" w:hAnsi="Times New Roman" w:cs="Times New Roman"/>
          <w:b/>
        </w:rPr>
      </w:pPr>
    </w:p>
    <w:p w14:paraId="116482E9" w14:textId="4247CF63" w:rsidR="006320F5" w:rsidRPr="00F35B34" w:rsidRDefault="006320F5" w:rsidP="00CC72CA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Определение инвестиционного горизонта</w:t>
      </w:r>
    </w:p>
    <w:p w14:paraId="57FEF1E5" w14:textId="77777777" w:rsidR="006320F5" w:rsidRPr="00F35B34" w:rsidRDefault="006320F5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6A92C271" w14:textId="21CC4F82" w:rsidR="006320F5" w:rsidRPr="00F35B34" w:rsidRDefault="006320F5" w:rsidP="00780E7E">
      <w:pPr>
        <w:pStyle w:val="a3"/>
        <w:numPr>
          <w:ilvl w:val="0"/>
          <w:numId w:val="2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горизонт определяется исходя из периода времени, за который клиент хочет достичь ожидаемую доходность при допустимом риске. В отношении</w:t>
      </w:r>
      <w:r w:rsidR="00C42CED" w:rsidRPr="00F35B34">
        <w:rPr>
          <w:rFonts w:ascii="Times New Roman" w:hAnsi="Times New Roman" w:cs="Times New Roman"/>
        </w:rPr>
        <w:t xml:space="preserve"> к</w:t>
      </w:r>
      <w:r w:rsidRPr="00F35B34">
        <w:rPr>
          <w:rFonts w:ascii="Times New Roman" w:hAnsi="Times New Roman" w:cs="Times New Roman"/>
        </w:rPr>
        <w:t>лиента, не являющегося квалифицированным инвестором, инвестиционный горизонт всегда определяется как 1 год, за исключением случаев, когда с клиентом заключается договор доверительного управления на срок менее 1 года. В отношении клиента, являющегося квалифицированным инвестором, инвестиционный горизонт определяется как предполагаемый срок инвестирования, указанный клиентом в анкете для определения инвестиционного профиля.</w:t>
      </w:r>
    </w:p>
    <w:p w14:paraId="1B3A6A9B" w14:textId="1B297605" w:rsidR="006320F5" w:rsidRPr="00F35B34" w:rsidRDefault="006320F5" w:rsidP="00780E7E">
      <w:pPr>
        <w:pStyle w:val="a3"/>
        <w:numPr>
          <w:ilvl w:val="0"/>
          <w:numId w:val="2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горизонт не может превышать срок, на который заключается договор доверительного управления.</w:t>
      </w:r>
    </w:p>
    <w:p w14:paraId="2B1871F5" w14:textId="700CB606" w:rsidR="006320F5" w:rsidRPr="00F35B34" w:rsidRDefault="006320F5" w:rsidP="00780E7E">
      <w:pPr>
        <w:pStyle w:val="a3"/>
        <w:numPr>
          <w:ilvl w:val="0"/>
          <w:numId w:val="27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 случае если срок договора доверительного управления превышает инвестиционный горизонт, определенный в инвестиционном профиле клиента, ожидаемая доходность и допустимый риск определяется за каждый инвестиционный горизонт, входящий в срок договора доверительного управления.</w:t>
      </w:r>
    </w:p>
    <w:p w14:paraId="63D89FF0" w14:textId="701C3B16" w:rsidR="006320F5" w:rsidRPr="00F35B34" w:rsidRDefault="006320F5" w:rsidP="00780E7E">
      <w:pPr>
        <w:ind w:left="-284" w:firstLine="426"/>
        <w:rPr>
          <w:rFonts w:ascii="Times New Roman" w:hAnsi="Times New Roman" w:cs="Times New Roman"/>
        </w:rPr>
      </w:pPr>
    </w:p>
    <w:p w14:paraId="087CB586" w14:textId="7D972749" w:rsidR="006320F5" w:rsidRPr="00F35B34" w:rsidRDefault="006320F5" w:rsidP="00C42CED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Определение значения допустимого риска клиента</w:t>
      </w:r>
    </w:p>
    <w:p w14:paraId="334C8868" w14:textId="77777777" w:rsidR="006320F5" w:rsidRPr="00F35B34" w:rsidRDefault="006320F5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1A19D680" w14:textId="6120152D" w:rsidR="006320F5" w:rsidRPr="00F35B34" w:rsidRDefault="006320F5" w:rsidP="00D326C1">
      <w:pPr>
        <w:pStyle w:val="a3"/>
        <w:numPr>
          <w:ilvl w:val="0"/>
          <w:numId w:val="3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Допустимый риск рассчитывается и устанавливается </w:t>
      </w:r>
      <w:r w:rsidR="002F6ACC" w:rsidRPr="00F35B34">
        <w:rPr>
          <w:rFonts w:ascii="Times New Roman" w:hAnsi="Times New Roman" w:cs="Times New Roman"/>
        </w:rPr>
        <w:t xml:space="preserve">Банком </w:t>
      </w:r>
      <w:r w:rsidRPr="00F35B34">
        <w:rPr>
          <w:rFonts w:ascii="Times New Roman" w:hAnsi="Times New Roman" w:cs="Times New Roman"/>
        </w:rPr>
        <w:t>на основе сведений, предоставленных клиентом.</w:t>
      </w:r>
    </w:p>
    <w:p w14:paraId="6C46A25F" w14:textId="2E8E3416" w:rsidR="006320F5" w:rsidRPr="00F35B34" w:rsidRDefault="006320F5" w:rsidP="00D326C1">
      <w:pPr>
        <w:pStyle w:val="a3"/>
        <w:numPr>
          <w:ilvl w:val="0"/>
          <w:numId w:val="30"/>
        </w:numPr>
        <w:spacing w:after="0"/>
        <w:ind w:left="-284"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В зависимости от вариантов ответов, указанных в анкете клиента, Банком рассчитывается уровень допустимого риска. </w:t>
      </w:r>
      <w:r w:rsidR="00ED0FE2" w:rsidRPr="00F35B34">
        <w:rPr>
          <w:rFonts w:ascii="Times New Roman" w:hAnsi="Times New Roman" w:cs="Times New Roman"/>
        </w:rPr>
        <w:t xml:space="preserve">Допустимый риск </w:t>
      </w:r>
      <w:r w:rsidR="00D326C1" w:rsidRPr="00F35B34">
        <w:rPr>
          <w:rFonts w:ascii="Times New Roman" w:hAnsi="Times New Roman" w:cs="Times New Roman"/>
        </w:rPr>
        <w:t>к</w:t>
      </w:r>
      <w:r w:rsidR="00476A3E" w:rsidRPr="00F35B34">
        <w:rPr>
          <w:rFonts w:ascii="Times New Roman" w:hAnsi="Times New Roman" w:cs="Times New Roman"/>
        </w:rPr>
        <w:t>лиента, не являющ</w:t>
      </w:r>
      <w:r w:rsidR="00D326C1" w:rsidRPr="00F35B34">
        <w:rPr>
          <w:rFonts w:ascii="Times New Roman" w:hAnsi="Times New Roman" w:cs="Times New Roman"/>
        </w:rPr>
        <w:t>егося</w:t>
      </w:r>
      <w:r w:rsidR="00ED0FE2" w:rsidRPr="00F35B34">
        <w:rPr>
          <w:rFonts w:ascii="Times New Roman" w:hAnsi="Times New Roman" w:cs="Times New Roman"/>
        </w:rPr>
        <w:t xml:space="preserve"> </w:t>
      </w:r>
      <w:proofErr w:type="gramStart"/>
      <w:r w:rsidR="00ED0FE2" w:rsidRPr="00F35B34">
        <w:rPr>
          <w:rFonts w:ascii="Times New Roman" w:hAnsi="Times New Roman" w:cs="Times New Roman"/>
        </w:rPr>
        <w:t>квалифицированным инвестором</w:t>
      </w:r>
      <w:proofErr w:type="gramEnd"/>
      <w:r w:rsidR="00476A3E" w:rsidRPr="00F35B34">
        <w:rPr>
          <w:rFonts w:ascii="Times New Roman" w:hAnsi="Times New Roman" w:cs="Times New Roman"/>
        </w:rPr>
        <w:t xml:space="preserve"> определяется, как </w:t>
      </w:r>
      <w:r w:rsidR="002D51B2" w:rsidRPr="00F35B34">
        <w:rPr>
          <w:rFonts w:ascii="Times New Roman" w:hAnsi="Times New Roman" w:cs="Times New Roman"/>
        </w:rPr>
        <w:t xml:space="preserve">консервативный, </w:t>
      </w:r>
      <w:r w:rsidR="00476A3E" w:rsidRPr="00F35B34">
        <w:rPr>
          <w:rFonts w:ascii="Times New Roman" w:hAnsi="Times New Roman" w:cs="Times New Roman"/>
        </w:rPr>
        <w:t>низкий, средний или высокий согласно следующему алгоритму:</w:t>
      </w:r>
    </w:p>
    <w:p w14:paraId="5C9476D8" w14:textId="281EA1A8" w:rsidR="00DB0D16" w:rsidRPr="00F35B34" w:rsidRDefault="002D51B2" w:rsidP="00404011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lastRenderedPageBreak/>
        <w:t>С</w:t>
      </w:r>
      <w:r w:rsidR="00476A3E" w:rsidRPr="00F35B34">
        <w:rPr>
          <w:rFonts w:ascii="Times New Roman" w:hAnsi="Times New Roman" w:cs="Times New Roman"/>
        </w:rPr>
        <w:t xml:space="preserve"> помощью анкеты определяется итоговый коэффициент и соответствующий ему допустимый риск: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5B34" w:rsidRPr="00F35B34" w14:paraId="24CF717B" w14:textId="77777777" w:rsidTr="00404011">
        <w:trPr>
          <w:jc w:val="center"/>
        </w:trPr>
        <w:tc>
          <w:tcPr>
            <w:tcW w:w="3114" w:type="dxa"/>
            <w:vMerge w:val="restart"/>
          </w:tcPr>
          <w:p w14:paraId="34968DDA" w14:textId="0390C9F7" w:rsidR="00C90AD6" w:rsidRPr="00F35B34" w:rsidRDefault="00C90AD6" w:rsidP="0040401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Допустимый риск</w:t>
            </w:r>
          </w:p>
        </w:tc>
        <w:tc>
          <w:tcPr>
            <w:tcW w:w="6230" w:type="dxa"/>
            <w:gridSpan w:val="2"/>
          </w:tcPr>
          <w:p w14:paraId="5CB4F2B2" w14:textId="28501A36" w:rsidR="00C90AD6" w:rsidRPr="00F35B34" w:rsidRDefault="00C90AD6" w:rsidP="0040401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Итоговый коэффициент</w:t>
            </w:r>
          </w:p>
        </w:tc>
      </w:tr>
      <w:tr w:rsidR="00F35B34" w:rsidRPr="00F35B34" w14:paraId="62BDFEE2" w14:textId="77777777" w:rsidTr="00404011">
        <w:trPr>
          <w:jc w:val="center"/>
        </w:trPr>
        <w:tc>
          <w:tcPr>
            <w:tcW w:w="3114" w:type="dxa"/>
            <w:vMerge/>
          </w:tcPr>
          <w:p w14:paraId="454134DB" w14:textId="77777777" w:rsidR="00C90AD6" w:rsidRPr="00F35B34" w:rsidRDefault="00C90AD6" w:rsidP="0040401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1957FBC" w14:textId="1DA8BAA6" w:rsidR="00C90AD6" w:rsidRPr="00F35B34" w:rsidRDefault="00C90AD6" w:rsidP="0040401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Для клиентов</w:t>
            </w:r>
            <w:r w:rsidR="00584C6C" w:rsidRPr="00F35B34">
              <w:rPr>
                <w:rFonts w:ascii="Times New Roman" w:hAnsi="Times New Roman" w:cs="Times New Roman"/>
                <w:b/>
              </w:rPr>
              <w:t xml:space="preserve"> </w:t>
            </w:r>
            <w:r w:rsidRPr="00F35B34">
              <w:rPr>
                <w:rFonts w:ascii="Times New Roman" w:hAnsi="Times New Roman" w:cs="Times New Roman"/>
                <w:b/>
              </w:rPr>
              <w:t>-</w:t>
            </w:r>
            <w:r w:rsidR="00584C6C" w:rsidRPr="00F35B34">
              <w:rPr>
                <w:rFonts w:ascii="Times New Roman" w:hAnsi="Times New Roman" w:cs="Times New Roman"/>
                <w:b/>
              </w:rPr>
              <w:t xml:space="preserve"> </w:t>
            </w:r>
            <w:r w:rsidRPr="00F35B34">
              <w:rPr>
                <w:rFonts w:ascii="Times New Roman" w:hAnsi="Times New Roman" w:cs="Times New Roman"/>
                <w:b/>
              </w:rPr>
              <w:t>ФЛ</w:t>
            </w:r>
          </w:p>
        </w:tc>
        <w:tc>
          <w:tcPr>
            <w:tcW w:w="3115" w:type="dxa"/>
          </w:tcPr>
          <w:p w14:paraId="0F5248C2" w14:textId="6D0D24E1" w:rsidR="00C90AD6" w:rsidRPr="00F35B34" w:rsidRDefault="00C90AD6" w:rsidP="0040401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Для клиентов -</w:t>
            </w:r>
            <w:r w:rsidR="00584C6C" w:rsidRPr="00F35B34">
              <w:rPr>
                <w:rFonts w:ascii="Times New Roman" w:hAnsi="Times New Roman" w:cs="Times New Roman"/>
                <w:b/>
              </w:rPr>
              <w:t xml:space="preserve"> </w:t>
            </w:r>
            <w:r w:rsidRPr="00F35B34">
              <w:rPr>
                <w:rFonts w:ascii="Times New Roman" w:hAnsi="Times New Roman" w:cs="Times New Roman"/>
                <w:b/>
              </w:rPr>
              <w:t>ЮЛ</w:t>
            </w:r>
          </w:p>
        </w:tc>
      </w:tr>
      <w:tr w:rsidR="00F35B34" w:rsidRPr="00F35B34" w14:paraId="1A9EE04C" w14:textId="77777777" w:rsidTr="00404011">
        <w:trPr>
          <w:jc w:val="center"/>
        </w:trPr>
        <w:tc>
          <w:tcPr>
            <w:tcW w:w="3114" w:type="dxa"/>
          </w:tcPr>
          <w:p w14:paraId="2DE81E16" w14:textId="36EB8593" w:rsidR="00C90AD6" w:rsidRPr="00F35B34" w:rsidRDefault="002D51B2" w:rsidP="0040401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Консервативный </w:t>
            </w:r>
          </w:p>
        </w:tc>
        <w:tc>
          <w:tcPr>
            <w:tcW w:w="3115" w:type="dxa"/>
          </w:tcPr>
          <w:p w14:paraId="3CD700BE" w14:textId="388826EB" w:rsidR="00C90AD6" w:rsidRPr="00F35B34" w:rsidRDefault="00D13AC6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3115" w:type="dxa"/>
          </w:tcPr>
          <w:p w14:paraId="1F444F31" w14:textId="285D6D49" w:rsidR="00C90AD6" w:rsidRPr="00F35B34" w:rsidRDefault="00A305B1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0-6</w:t>
            </w:r>
          </w:p>
        </w:tc>
      </w:tr>
      <w:tr w:rsidR="00F35B34" w:rsidRPr="00F35B34" w14:paraId="101A2931" w14:textId="77777777" w:rsidTr="00404011">
        <w:trPr>
          <w:jc w:val="center"/>
        </w:trPr>
        <w:tc>
          <w:tcPr>
            <w:tcW w:w="3114" w:type="dxa"/>
          </w:tcPr>
          <w:p w14:paraId="5C0F80C0" w14:textId="06B5CFC2" w:rsidR="00C90AD6" w:rsidRPr="00F35B34" w:rsidRDefault="002D51B2" w:rsidP="0040401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3115" w:type="dxa"/>
          </w:tcPr>
          <w:p w14:paraId="59CB27FB" w14:textId="107072D3" w:rsidR="002D51B2" w:rsidRPr="00F35B34" w:rsidRDefault="00D13AC6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3115" w:type="dxa"/>
          </w:tcPr>
          <w:p w14:paraId="61C9A70B" w14:textId="3F2561FF" w:rsidR="00C90AD6" w:rsidRPr="00F35B34" w:rsidRDefault="00A305B1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7-13</w:t>
            </w:r>
          </w:p>
        </w:tc>
      </w:tr>
      <w:tr w:rsidR="00F35B34" w:rsidRPr="00F35B34" w14:paraId="10DADF72" w14:textId="77777777" w:rsidTr="00404011">
        <w:trPr>
          <w:jc w:val="center"/>
        </w:trPr>
        <w:tc>
          <w:tcPr>
            <w:tcW w:w="3114" w:type="dxa"/>
          </w:tcPr>
          <w:p w14:paraId="56AAE842" w14:textId="22ED45A3" w:rsidR="00C90AD6" w:rsidRPr="00F35B34" w:rsidRDefault="002D51B2" w:rsidP="0040401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3115" w:type="dxa"/>
          </w:tcPr>
          <w:p w14:paraId="759D134D" w14:textId="0C9B6430" w:rsidR="00C90AD6" w:rsidRPr="00F35B34" w:rsidRDefault="00D13AC6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22-32</w:t>
            </w:r>
          </w:p>
        </w:tc>
        <w:tc>
          <w:tcPr>
            <w:tcW w:w="3115" w:type="dxa"/>
          </w:tcPr>
          <w:p w14:paraId="25FA5D52" w14:textId="0720D0BC" w:rsidR="00C90AD6" w:rsidRPr="00F35B34" w:rsidRDefault="00A305B1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14</w:t>
            </w:r>
            <w:r w:rsidR="002D51B2" w:rsidRPr="00F35B34">
              <w:rPr>
                <w:rFonts w:ascii="Times New Roman" w:hAnsi="Times New Roman" w:cs="Times New Roman"/>
              </w:rPr>
              <w:t>-20</w:t>
            </w:r>
          </w:p>
        </w:tc>
      </w:tr>
      <w:tr w:rsidR="002D51B2" w:rsidRPr="00F35B34" w14:paraId="5AFDCB6D" w14:textId="77777777" w:rsidTr="00404011">
        <w:trPr>
          <w:jc w:val="center"/>
        </w:trPr>
        <w:tc>
          <w:tcPr>
            <w:tcW w:w="3114" w:type="dxa"/>
          </w:tcPr>
          <w:p w14:paraId="6CEE561E" w14:textId="5C36DDC7" w:rsidR="002D51B2" w:rsidRPr="00F35B34" w:rsidRDefault="002D51B2" w:rsidP="0040401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3115" w:type="dxa"/>
          </w:tcPr>
          <w:p w14:paraId="0E6AA7AD" w14:textId="1501C780" w:rsidR="002D51B2" w:rsidRPr="00F35B34" w:rsidRDefault="00D13AC6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33-42</w:t>
            </w:r>
          </w:p>
        </w:tc>
        <w:tc>
          <w:tcPr>
            <w:tcW w:w="3115" w:type="dxa"/>
          </w:tcPr>
          <w:p w14:paraId="2CAF452E" w14:textId="69AFBACC" w:rsidR="002D51B2" w:rsidRPr="00F35B34" w:rsidRDefault="002D51B2" w:rsidP="0040401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  <w:r w:rsidR="00A305B1" w:rsidRPr="00F35B34">
              <w:rPr>
                <w:rFonts w:ascii="Times New Roman" w:hAnsi="Times New Roman" w:cs="Times New Roman"/>
              </w:rPr>
              <w:t>1-27</w:t>
            </w:r>
          </w:p>
        </w:tc>
      </w:tr>
    </w:tbl>
    <w:p w14:paraId="08423254" w14:textId="77777777" w:rsidR="00DB0D16" w:rsidRPr="00F35B34" w:rsidRDefault="00DB0D16" w:rsidP="0040401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3B1ACAB" w14:textId="098DCAF2" w:rsidR="002D51B2" w:rsidRPr="00F35B34" w:rsidRDefault="002D51B2" w:rsidP="00404011">
      <w:pPr>
        <w:pStyle w:val="a3"/>
        <w:numPr>
          <w:ilvl w:val="0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Присваиваемый</w:t>
      </w:r>
      <w:r w:rsidR="00584C6C" w:rsidRPr="00F35B34">
        <w:rPr>
          <w:rFonts w:ascii="Times New Roman" w:hAnsi="Times New Roman" w:cs="Times New Roman"/>
        </w:rPr>
        <w:t xml:space="preserve"> к</w:t>
      </w:r>
      <w:r w:rsidRPr="00F35B34">
        <w:rPr>
          <w:rFonts w:ascii="Times New Roman" w:hAnsi="Times New Roman" w:cs="Times New Roman"/>
        </w:rPr>
        <w:t xml:space="preserve">лиенту </w:t>
      </w:r>
      <w:r w:rsidR="00584C6C" w:rsidRPr="00F35B34">
        <w:rPr>
          <w:rFonts w:ascii="Times New Roman" w:hAnsi="Times New Roman" w:cs="Times New Roman"/>
        </w:rPr>
        <w:t>д</w:t>
      </w:r>
      <w:r w:rsidRPr="00F35B34">
        <w:rPr>
          <w:rFonts w:ascii="Times New Roman" w:hAnsi="Times New Roman" w:cs="Times New Roman"/>
        </w:rPr>
        <w:t xml:space="preserve">опустимый риск не может быть выше по уровню, чем </w:t>
      </w:r>
      <w:r w:rsidR="00584C6C" w:rsidRPr="00F35B34">
        <w:rPr>
          <w:rFonts w:ascii="Times New Roman" w:hAnsi="Times New Roman" w:cs="Times New Roman"/>
        </w:rPr>
        <w:t>д</w:t>
      </w:r>
      <w:r w:rsidRPr="00F35B34">
        <w:rPr>
          <w:rFonts w:ascii="Times New Roman" w:hAnsi="Times New Roman" w:cs="Times New Roman"/>
        </w:rPr>
        <w:t xml:space="preserve">опустимый риск, соответствующий ответу </w:t>
      </w:r>
      <w:r w:rsidR="00584C6C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лиента на вопрос анкеты про отношение к возможным убыткам:</w:t>
      </w:r>
      <w:r w:rsidR="00800300" w:rsidRPr="00F35B34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523"/>
        <w:gridCol w:w="3821"/>
      </w:tblGrid>
      <w:tr w:rsidR="00F35B34" w:rsidRPr="00F35B34" w14:paraId="495B9D36" w14:textId="77777777" w:rsidTr="007D2546">
        <w:trPr>
          <w:jc w:val="center"/>
        </w:trPr>
        <w:tc>
          <w:tcPr>
            <w:tcW w:w="5524" w:type="dxa"/>
          </w:tcPr>
          <w:p w14:paraId="0484AC49" w14:textId="7CCDBB9B" w:rsidR="002D51B2" w:rsidRPr="00F35B34" w:rsidRDefault="002D51B2" w:rsidP="0058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3821" w:type="dxa"/>
          </w:tcPr>
          <w:p w14:paraId="70D22829" w14:textId="7E197766" w:rsidR="002D51B2" w:rsidRPr="00F35B34" w:rsidRDefault="002D51B2" w:rsidP="0058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Допустимый риск не выше</w:t>
            </w:r>
          </w:p>
        </w:tc>
      </w:tr>
      <w:tr w:rsidR="00F35B34" w:rsidRPr="00F35B34" w14:paraId="6EE223FD" w14:textId="77777777" w:rsidTr="007D2546">
        <w:trPr>
          <w:jc w:val="center"/>
        </w:trPr>
        <w:tc>
          <w:tcPr>
            <w:tcW w:w="5524" w:type="dxa"/>
          </w:tcPr>
          <w:p w14:paraId="5AAB053F" w14:textId="71EAE7B6" w:rsidR="002D51B2" w:rsidRPr="00F35B34" w:rsidRDefault="002D51B2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Возможные убытки воспринимаю болезненно. Основная цель – сохранить капитал. </w:t>
            </w:r>
          </w:p>
        </w:tc>
        <w:tc>
          <w:tcPr>
            <w:tcW w:w="3821" w:type="dxa"/>
          </w:tcPr>
          <w:p w14:paraId="6DF5198D" w14:textId="3CAE5E80" w:rsidR="002D51B2" w:rsidRPr="00F35B34" w:rsidRDefault="002D51B2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Консервативный</w:t>
            </w:r>
          </w:p>
        </w:tc>
      </w:tr>
      <w:tr w:rsidR="00F35B34" w:rsidRPr="00F35B34" w14:paraId="75E8ABAF" w14:textId="77777777" w:rsidTr="007D2546">
        <w:trPr>
          <w:jc w:val="center"/>
        </w:trPr>
        <w:tc>
          <w:tcPr>
            <w:tcW w:w="5524" w:type="dxa"/>
          </w:tcPr>
          <w:p w14:paraId="748BA528" w14:textId="5F915D3E" w:rsidR="002D51B2" w:rsidRPr="00F35B34" w:rsidRDefault="002D51B2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Возможны незначительные убытки. </w:t>
            </w:r>
            <w:r w:rsidR="00FA1CF1" w:rsidRPr="00F35B34">
              <w:rPr>
                <w:rFonts w:ascii="Times New Roman" w:hAnsi="Times New Roman" w:cs="Times New Roman"/>
              </w:rPr>
              <w:t>Готов ждать, когда вложения снова будут показывать доход.</w:t>
            </w:r>
          </w:p>
        </w:tc>
        <w:tc>
          <w:tcPr>
            <w:tcW w:w="3821" w:type="dxa"/>
          </w:tcPr>
          <w:p w14:paraId="2C4BE04D" w14:textId="4E189281" w:rsidR="002D51B2" w:rsidRPr="00F35B34" w:rsidRDefault="002D51B2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Низкий</w:t>
            </w:r>
          </w:p>
        </w:tc>
      </w:tr>
      <w:tr w:rsidR="00F35B34" w:rsidRPr="00F35B34" w14:paraId="7B26AD72" w14:textId="77777777" w:rsidTr="007D2546">
        <w:trPr>
          <w:jc w:val="center"/>
        </w:trPr>
        <w:tc>
          <w:tcPr>
            <w:tcW w:w="5524" w:type="dxa"/>
          </w:tcPr>
          <w:p w14:paraId="7A0F3DE0" w14:textId="56E10CE9" w:rsidR="002D51B2" w:rsidRPr="00F35B34" w:rsidRDefault="002D51B2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Спокойно отношусь к убыткам. Основная цель – получить существенный доход.</w:t>
            </w:r>
          </w:p>
        </w:tc>
        <w:tc>
          <w:tcPr>
            <w:tcW w:w="3821" w:type="dxa"/>
          </w:tcPr>
          <w:p w14:paraId="35C5AA65" w14:textId="3E91006D" w:rsidR="002D51B2" w:rsidRPr="00F35B34" w:rsidRDefault="002D51B2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2D51B2" w:rsidRPr="00F35B34" w14:paraId="7CEF85C3" w14:textId="77777777" w:rsidTr="007D2546">
        <w:trPr>
          <w:jc w:val="center"/>
        </w:trPr>
        <w:tc>
          <w:tcPr>
            <w:tcW w:w="5524" w:type="dxa"/>
          </w:tcPr>
          <w:p w14:paraId="15D8D691" w14:textId="58273B84" w:rsidR="002D51B2" w:rsidRPr="00F35B34" w:rsidRDefault="002D51B2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Готов к убыткам. Главное – получить максимальный доход.</w:t>
            </w:r>
          </w:p>
        </w:tc>
        <w:tc>
          <w:tcPr>
            <w:tcW w:w="3821" w:type="dxa"/>
          </w:tcPr>
          <w:p w14:paraId="3AAC3EBC" w14:textId="39BD80FF" w:rsidR="002D51B2" w:rsidRPr="00F35B34" w:rsidRDefault="002D51B2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14:paraId="29A4CA91" w14:textId="77777777" w:rsidR="00AE3A4E" w:rsidRPr="00F35B34" w:rsidRDefault="00AE3A4E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6654162B" w14:textId="4D2A825E" w:rsidR="00AE3A4E" w:rsidRPr="00F35B34" w:rsidRDefault="003D5C45" w:rsidP="006E4186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/>
        <w:ind w:left="426" w:hanging="142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 </w:t>
      </w:r>
      <w:r w:rsidR="00AE3A4E" w:rsidRPr="00F35B34">
        <w:rPr>
          <w:rFonts w:ascii="Times New Roman" w:hAnsi="Times New Roman" w:cs="Times New Roman"/>
        </w:rPr>
        <w:t>Допустимый риск имеет следующие характеристики: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97"/>
      </w:tblGrid>
      <w:tr w:rsidR="00F35B34" w:rsidRPr="00F35B34" w14:paraId="1BE492DA" w14:textId="77777777" w:rsidTr="007D2546">
        <w:trPr>
          <w:jc w:val="center"/>
        </w:trPr>
        <w:tc>
          <w:tcPr>
            <w:tcW w:w="2547" w:type="dxa"/>
          </w:tcPr>
          <w:p w14:paraId="42A3CA7D" w14:textId="69E182A6" w:rsidR="00AE3A4E" w:rsidRPr="00F35B34" w:rsidRDefault="00AE3A4E" w:rsidP="00FA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Допустимый риск</w:t>
            </w:r>
          </w:p>
        </w:tc>
        <w:tc>
          <w:tcPr>
            <w:tcW w:w="6798" w:type="dxa"/>
          </w:tcPr>
          <w:p w14:paraId="209C0124" w14:textId="19D9C1B1" w:rsidR="00AE3A4E" w:rsidRPr="00F35B34" w:rsidRDefault="00AE3A4E" w:rsidP="00FA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Величина допустимого риска</w:t>
            </w:r>
          </w:p>
        </w:tc>
      </w:tr>
      <w:tr w:rsidR="00F35B34" w:rsidRPr="00F35B34" w14:paraId="7312F6A7" w14:textId="77777777" w:rsidTr="007D2546">
        <w:trPr>
          <w:jc w:val="center"/>
        </w:trPr>
        <w:tc>
          <w:tcPr>
            <w:tcW w:w="2547" w:type="dxa"/>
          </w:tcPr>
          <w:p w14:paraId="2AE287B1" w14:textId="3B6C9BBA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6798" w:type="dxa"/>
          </w:tcPr>
          <w:p w14:paraId="4F7C6A9D" w14:textId="313DD5BA" w:rsidR="00AE3A4E" w:rsidRPr="00F35B34" w:rsidRDefault="00AE3A4E" w:rsidP="00C86B0E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Убытки клиента на инвестиционном горизонте не превысят </w:t>
            </w:r>
            <w:r w:rsidR="00072717" w:rsidRPr="00F35B34">
              <w:rPr>
                <w:rFonts w:ascii="Times New Roman" w:hAnsi="Times New Roman" w:cs="Times New Roman"/>
              </w:rPr>
              <w:t>1</w:t>
            </w:r>
            <w:r w:rsidRPr="00F35B34">
              <w:rPr>
                <w:rFonts w:ascii="Times New Roman" w:hAnsi="Times New Roman" w:cs="Times New Roman"/>
              </w:rPr>
              <w:t xml:space="preserve">0% от стоимости портфеля </w:t>
            </w:r>
            <w:r w:rsidR="00C86B0E" w:rsidRPr="00F35B34">
              <w:rPr>
                <w:rFonts w:ascii="Times New Roman" w:hAnsi="Times New Roman" w:cs="Times New Roman"/>
              </w:rPr>
              <w:t>к</w:t>
            </w:r>
            <w:r w:rsidRPr="00F35B34">
              <w:rPr>
                <w:rFonts w:ascii="Times New Roman" w:hAnsi="Times New Roman" w:cs="Times New Roman"/>
              </w:rPr>
              <w:t>лиента на дату оценки.</w:t>
            </w:r>
          </w:p>
        </w:tc>
      </w:tr>
      <w:tr w:rsidR="00F35B34" w:rsidRPr="00F35B34" w14:paraId="3C231F3F" w14:textId="77777777" w:rsidTr="007D2546">
        <w:trPr>
          <w:jc w:val="center"/>
        </w:trPr>
        <w:tc>
          <w:tcPr>
            <w:tcW w:w="2547" w:type="dxa"/>
          </w:tcPr>
          <w:p w14:paraId="398D5AE8" w14:textId="7DF0746D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6798" w:type="dxa"/>
          </w:tcPr>
          <w:p w14:paraId="7EE54208" w14:textId="400E159A" w:rsidR="00AE3A4E" w:rsidRPr="00F35B34" w:rsidRDefault="00AE3A4E" w:rsidP="00C86B0E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Убытки клиента на инвестиционном горизонте не превысят </w:t>
            </w:r>
            <w:r w:rsidR="00072717" w:rsidRPr="00F35B34">
              <w:rPr>
                <w:rFonts w:ascii="Times New Roman" w:hAnsi="Times New Roman" w:cs="Times New Roman"/>
              </w:rPr>
              <w:t>25</w:t>
            </w:r>
            <w:r w:rsidRPr="00F35B34">
              <w:rPr>
                <w:rFonts w:ascii="Times New Roman" w:hAnsi="Times New Roman" w:cs="Times New Roman"/>
              </w:rPr>
              <w:t xml:space="preserve">% от стоимости портфеля </w:t>
            </w:r>
            <w:r w:rsidR="00C86B0E" w:rsidRPr="00F35B34">
              <w:rPr>
                <w:rFonts w:ascii="Times New Roman" w:hAnsi="Times New Roman" w:cs="Times New Roman"/>
              </w:rPr>
              <w:t>к</w:t>
            </w:r>
            <w:r w:rsidRPr="00F35B34">
              <w:rPr>
                <w:rFonts w:ascii="Times New Roman" w:hAnsi="Times New Roman" w:cs="Times New Roman"/>
              </w:rPr>
              <w:t>лиента на дату оценки.</w:t>
            </w:r>
          </w:p>
        </w:tc>
      </w:tr>
      <w:tr w:rsidR="00F35B34" w:rsidRPr="00F35B34" w14:paraId="7695DB6A" w14:textId="77777777" w:rsidTr="007D2546">
        <w:trPr>
          <w:jc w:val="center"/>
        </w:trPr>
        <w:tc>
          <w:tcPr>
            <w:tcW w:w="2547" w:type="dxa"/>
          </w:tcPr>
          <w:p w14:paraId="2A7294EC" w14:textId="0FB419AA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798" w:type="dxa"/>
          </w:tcPr>
          <w:p w14:paraId="08C7DDD5" w14:textId="251887AC" w:rsidR="00AE3A4E" w:rsidRPr="00F35B34" w:rsidRDefault="00AE3A4E" w:rsidP="00C86B0E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Убытки клиента на инвестиционном горизонте не превысят </w:t>
            </w:r>
            <w:r w:rsidR="00072717" w:rsidRPr="00F35B34">
              <w:rPr>
                <w:rFonts w:ascii="Times New Roman" w:hAnsi="Times New Roman" w:cs="Times New Roman"/>
              </w:rPr>
              <w:t>5</w:t>
            </w:r>
            <w:r w:rsidRPr="00F35B34">
              <w:rPr>
                <w:rFonts w:ascii="Times New Roman" w:hAnsi="Times New Roman" w:cs="Times New Roman"/>
              </w:rPr>
              <w:t xml:space="preserve">0% от стоимости портфеля </w:t>
            </w:r>
            <w:r w:rsidR="00C86B0E" w:rsidRPr="00F35B34">
              <w:rPr>
                <w:rFonts w:ascii="Times New Roman" w:hAnsi="Times New Roman" w:cs="Times New Roman"/>
              </w:rPr>
              <w:t>к</w:t>
            </w:r>
            <w:r w:rsidRPr="00F35B34">
              <w:rPr>
                <w:rFonts w:ascii="Times New Roman" w:hAnsi="Times New Roman" w:cs="Times New Roman"/>
              </w:rPr>
              <w:t>лиента на дату оценки.</w:t>
            </w:r>
          </w:p>
        </w:tc>
      </w:tr>
      <w:tr w:rsidR="00F35B34" w:rsidRPr="00F35B34" w14:paraId="7E42D94A" w14:textId="77777777" w:rsidTr="007D2546">
        <w:trPr>
          <w:jc w:val="center"/>
        </w:trPr>
        <w:tc>
          <w:tcPr>
            <w:tcW w:w="2547" w:type="dxa"/>
          </w:tcPr>
          <w:p w14:paraId="6E0F63B2" w14:textId="53E245AA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798" w:type="dxa"/>
          </w:tcPr>
          <w:p w14:paraId="5F709CF9" w14:textId="254209B1" w:rsidR="00AE3A4E" w:rsidRPr="00F35B34" w:rsidRDefault="00AE3A4E" w:rsidP="00C86B0E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Убытки клиента на инвестиционном горизонте </w:t>
            </w:r>
            <w:r w:rsidR="00072717" w:rsidRPr="00F35B34">
              <w:rPr>
                <w:rFonts w:ascii="Times New Roman" w:hAnsi="Times New Roman" w:cs="Times New Roman"/>
              </w:rPr>
              <w:t>могут составлять более</w:t>
            </w:r>
            <w:r w:rsidRPr="00F35B34">
              <w:rPr>
                <w:rFonts w:ascii="Times New Roman" w:hAnsi="Times New Roman" w:cs="Times New Roman"/>
              </w:rPr>
              <w:t xml:space="preserve"> </w:t>
            </w:r>
            <w:r w:rsidR="00072717" w:rsidRPr="00F35B34">
              <w:rPr>
                <w:rFonts w:ascii="Times New Roman" w:hAnsi="Times New Roman" w:cs="Times New Roman"/>
              </w:rPr>
              <w:t>50</w:t>
            </w:r>
            <w:r w:rsidRPr="00F35B34">
              <w:rPr>
                <w:rFonts w:ascii="Times New Roman" w:hAnsi="Times New Roman" w:cs="Times New Roman"/>
              </w:rPr>
              <w:t xml:space="preserve">% от стоимости портфеля </w:t>
            </w:r>
            <w:r w:rsidR="00C86B0E" w:rsidRPr="00F35B34">
              <w:rPr>
                <w:rFonts w:ascii="Times New Roman" w:hAnsi="Times New Roman" w:cs="Times New Roman"/>
              </w:rPr>
              <w:t>к</w:t>
            </w:r>
            <w:r w:rsidRPr="00F35B34">
              <w:rPr>
                <w:rFonts w:ascii="Times New Roman" w:hAnsi="Times New Roman" w:cs="Times New Roman"/>
              </w:rPr>
              <w:t>лиента на дату оценки.</w:t>
            </w:r>
          </w:p>
        </w:tc>
      </w:tr>
    </w:tbl>
    <w:p w14:paraId="6F41AF13" w14:textId="37F1FADD" w:rsidR="00476A3E" w:rsidRPr="00F35B34" w:rsidRDefault="002D51B2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 </w:t>
      </w:r>
    </w:p>
    <w:p w14:paraId="5931C567" w14:textId="2A17E251" w:rsidR="0090000A" w:rsidRPr="00F35B34" w:rsidRDefault="0090000A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контролирует соответствие </w:t>
      </w:r>
      <w:r w:rsidR="00E4176D" w:rsidRPr="00F35B34">
        <w:rPr>
          <w:rFonts w:ascii="Times New Roman" w:hAnsi="Times New Roman" w:cs="Times New Roman"/>
        </w:rPr>
        <w:t>ф</w:t>
      </w:r>
      <w:r w:rsidRPr="00F35B34">
        <w:rPr>
          <w:rFonts w:ascii="Times New Roman" w:hAnsi="Times New Roman" w:cs="Times New Roman"/>
        </w:rPr>
        <w:t xml:space="preserve">актического риска </w:t>
      </w:r>
      <w:r w:rsidR="00E4176D" w:rsidRPr="00F35B34">
        <w:rPr>
          <w:rFonts w:ascii="Times New Roman" w:hAnsi="Times New Roman" w:cs="Times New Roman"/>
        </w:rPr>
        <w:t>д</w:t>
      </w:r>
      <w:r w:rsidRPr="00F35B34">
        <w:rPr>
          <w:rFonts w:ascii="Times New Roman" w:hAnsi="Times New Roman" w:cs="Times New Roman"/>
        </w:rPr>
        <w:t>опустимому риску ежеквартально не позднее первого рабочего дня, следующего за днем окончания отчетного квартала.</w:t>
      </w:r>
    </w:p>
    <w:p w14:paraId="693EE185" w14:textId="12085046" w:rsidR="0090000A" w:rsidRPr="00F35B34" w:rsidRDefault="0090000A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Фактический риск выражается в виде абсолютной величины в рублях и рассчитывается как отрицательное значение при вычете всей суммы внесенных средств клиента от общей стоимости активов клиента, рассчитанного на дату расчета фактического риска в соответствии с Методикой оценки стоимости активов (Приложение 8 к Договору доверительного управления ценными бумагами)</w:t>
      </w:r>
      <w:r w:rsidR="00DF3C41" w:rsidRPr="00F35B34">
        <w:rPr>
          <w:rFonts w:ascii="Times New Roman" w:hAnsi="Times New Roman" w:cs="Times New Roman"/>
        </w:rPr>
        <w:t xml:space="preserve">. </w:t>
      </w:r>
    </w:p>
    <w:p w14:paraId="6FD78C64" w14:textId="3696036B" w:rsidR="0090000A" w:rsidRPr="00F35B34" w:rsidRDefault="0090000A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Фактический риск клиента рассчитывается по каждому отдельному договору доверительного управления клиента. При этом совокупный фактический риск клиента не должен превышать допустимый риск, определенный в инвестиционном профиле клиента.</w:t>
      </w:r>
    </w:p>
    <w:p w14:paraId="1BA2F5C6" w14:textId="7A10BCB3" w:rsidR="0090000A" w:rsidRPr="00F35B34" w:rsidRDefault="0090000A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Если в отношении </w:t>
      </w:r>
      <w:r w:rsidR="00E4176D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лиента, с которым заключен договор доверительного управления, предусматривающий доверительное управление в соответствии со </w:t>
      </w:r>
      <w:r w:rsidR="00E4176D" w:rsidRPr="00F35B34">
        <w:rPr>
          <w:rFonts w:ascii="Times New Roman" w:hAnsi="Times New Roman" w:cs="Times New Roman"/>
        </w:rPr>
        <w:t>с</w:t>
      </w:r>
      <w:r w:rsidRPr="00F35B34">
        <w:rPr>
          <w:rFonts w:ascii="Times New Roman" w:hAnsi="Times New Roman" w:cs="Times New Roman"/>
        </w:rPr>
        <w:t xml:space="preserve">тандартной стратегией управления, </w:t>
      </w:r>
      <w:r w:rsidR="00E4176D" w:rsidRPr="00F35B34">
        <w:rPr>
          <w:rFonts w:ascii="Times New Roman" w:hAnsi="Times New Roman" w:cs="Times New Roman"/>
        </w:rPr>
        <w:t>ф</w:t>
      </w:r>
      <w:r w:rsidRPr="00F35B34">
        <w:rPr>
          <w:rFonts w:ascii="Times New Roman" w:hAnsi="Times New Roman" w:cs="Times New Roman"/>
        </w:rPr>
        <w:t xml:space="preserve">актический риск стал превышать </w:t>
      </w:r>
      <w:r w:rsidR="00E4176D" w:rsidRPr="00F35B34">
        <w:rPr>
          <w:rFonts w:ascii="Times New Roman" w:hAnsi="Times New Roman" w:cs="Times New Roman"/>
        </w:rPr>
        <w:t>д</w:t>
      </w:r>
      <w:r w:rsidRPr="00F35B34">
        <w:rPr>
          <w:rFonts w:ascii="Times New Roman" w:hAnsi="Times New Roman" w:cs="Times New Roman"/>
        </w:rPr>
        <w:t xml:space="preserve">опустимый риск, Банк обязан привести управление денежными средствами и ценными бумагами этого </w:t>
      </w:r>
      <w:r w:rsidR="00A6071F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лиента в соответствие со Стандартной стратегией.</w:t>
      </w:r>
      <w:r w:rsidR="00E4176D" w:rsidRPr="00F35B34">
        <w:rPr>
          <w:rFonts w:ascii="Times New Roman" w:hAnsi="Times New Roman" w:cs="Times New Roman"/>
        </w:rPr>
        <w:t xml:space="preserve"> </w:t>
      </w:r>
      <w:r w:rsidR="00A6071F" w:rsidRPr="00F35B34">
        <w:rPr>
          <w:rFonts w:ascii="Times New Roman" w:hAnsi="Times New Roman" w:cs="Times New Roman"/>
        </w:rPr>
        <w:t xml:space="preserve">  </w:t>
      </w:r>
    </w:p>
    <w:p w14:paraId="6BB16FFD" w14:textId="1DAB18A2" w:rsidR="0090000A" w:rsidRPr="00F35B34" w:rsidRDefault="00380911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В случае если фактический риск (убыток) клиента стал превышать допустимый риск, определенный в инвестиционном профиле клиента,</w:t>
      </w:r>
      <w:r w:rsidR="00DF3C41" w:rsidRPr="00F35B34">
        <w:rPr>
          <w:rFonts w:ascii="Times New Roman" w:hAnsi="Times New Roman" w:cs="Times New Roman"/>
        </w:rPr>
        <w:t xml:space="preserve"> Банк </w:t>
      </w:r>
      <w:r w:rsidRPr="00F35B34">
        <w:rPr>
          <w:rFonts w:ascii="Times New Roman" w:hAnsi="Times New Roman" w:cs="Times New Roman"/>
        </w:rPr>
        <w:t>уведомляет об этом клиента не позднее одного рабочего дня, следующего за днем выявления такого превышения.</w:t>
      </w:r>
      <w:r w:rsidR="00A6071F" w:rsidRPr="00F35B34">
        <w:rPr>
          <w:rFonts w:ascii="Times New Roman" w:hAnsi="Times New Roman" w:cs="Times New Roman"/>
        </w:rPr>
        <w:t xml:space="preserve"> </w:t>
      </w:r>
    </w:p>
    <w:p w14:paraId="19A805FA" w14:textId="28F7CFBE" w:rsidR="00380911" w:rsidRPr="00F35B34" w:rsidRDefault="008D3B1F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Н</w:t>
      </w:r>
      <w:r w:rsidR="00380911" w:rsidRPr="00F35B34">
        <w:rPr>
          <w:rFonts w:ascii="Times New Roman" w:hAnsi="Times New Roman" w:cs="Times New Roman"/>
        </w:rPr>
        <w:t xml:space="preserve">е позднее следующего рабочего </w:t>
      </w:r>
      <w:proofErr w:type="gramStart"/>
      <w:r w:rsidR="00380911" w:rsidRPr="00F35B34">
        <w:rPr>
          <w:rFonts w:ascii="Times New Roman" w:hAnsi="Times New Roman" w:cs="Times New Roman"/>
        </w:rPr>
        <w:t xml:space="preserve">дня </w:t>
      </w:r>
      <w:r w:rsidR="00DF3C41" w:rsidRPr="00F35B34">
        <w:rPr>
          <w:rFonts w:ascii="Times New Roman" w:hAnsi="Times New Roman" w:cs="Times New Roman"/>
        </w:rPr>
        <w:t xml:space="preserve"> Банк</w:t>
      </w:r>
      <w:proofErr w:type="gramEnd"/>
      <w:r w:rsidR="00DF3C41" w:rsidRPr="00F35B34">
        <w:rPr>
          <w:rFonts w:ascii="Times New Roman" w:hAnsi="Times New Roman" w:cs="Times New Roman"/>
        </w:rPr>
        <w:t xml:space="preserve"> </w:t>
      </w:r>
      <w:r w:rsidR="00380911" w:rsidRPr="00F35B34">
        <w:rPr>
          <w:rFonts w:ascii="Times New Roman" w:hAnsi="Times New Roman" w:cs="Times New Roman"/>
        </w:rPr>
        <w:t xml:space="preserve"> должен предпринять все необходимые действия по снижению уровня фактического риска (убытка). В случае наличия открытых позиций в </w:t>
      </w:r>
      <w:r w:rsidR="00380911" w:rsidRPr="00F35B34">
        <w:rPr>
          <w:rFonts w:ascii="Times New Roman" w:hAnsi="Times New Roman" w:cs="Times New Roman"/>
        </w:rPr>
        <w:lastRenderedPageBreak/>
        <w:t xml:space="preserve">умеренно агрессивных и агрессивных активах </w:t>
      </w:r>
      <w:r w:rsidR="00DF3C41" w:rsidRPr="00F35B34">
        <w:rPr>
          <w:rFonts w:ascii="Times New Roman" w:hAnsi="Times New Roman" w:cs="Times New Roman"/>
        </w:rPr>
        <w:t xml:space="preserve">Банк </w:t>
      </w:r>
      <w:r w:rsidR="00380911" w:rsidRPr="00F35B34">
        <w:rPr>
          <w:rFonts w:ascii="Times New Roman" w:hAnsi="Times New Roman" w:cs="Times New Roman"/>
        </w:rPr>
        <w:t>должен закрыть данные позиции и перевести активы в денежные средства.</w:t>
      </w:r>
    </w:p>
    <w:p w14:paraId="288C2B41" w14:textId="0A4BBFEA" w:rsidR="00380911" w:rsidRPr="00F35B34" w:rsidRDefault="00380911" w:rsidP="006E4186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После закрытия позиций в умеренно агрессивных и агрессивных активах, по письменному требованию клиента </w:t>
      </w:r>
      <w:r w:rsidR="00DF3C41" w:rsidRPr="00F35B34">
        <w:rPr>
          <w:rFonts w:ascii="Times New Roman" w:hAnsi="Times New Roman" w:cs="Times New Roman"/>
        </w:rPr>
        <w:t xml:space="preserve">Банк </w:t>
      </w:r>
      <w:r w:rsidRPr="00F35B34">
        <w:rPr>
          <w:rFonts w:ascii="Times New Roman" w:hAnsi="Times New Roman" w:cs="Times New Roman"/>
        </w:rPr>
        <w:t>обязан привести управление ценными бумагами и денежными средствами этого клиента в соответствие с его инвестиционным профилем, или вывести из доверительного управления по усмотрению клиента, а инвестиционный профиль должен быть пересмотрен совместно с клиентом.</w:t>
      </w:r>
    </w:p>
    <w:p w14:paraId="170E2E01" w14:textId="77777777" w:rsidR="008C3DF3" w:rsidRPr="00F35B34" w:rsidRDefault="008C3DF3" w:rsidP="008C3DF3">
      <w:pPr>
        <w:pStyle w:val="a3"/>
        <w:tabs>
          <w:tab w:val="left" w:pos="567"/>
          <w:tab w:val="left" w:pos="851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84F5D4F" w14:textId="77777777" w:rsidR="00380911" w:rsidRPr="00F35B34" w:rsidRDefault="00380911" w:rsidP="007D2546">
      <w:pPr>
        <w:spacing w:after="0"/>
        <w:ind w:left="-284" w:firstLine="568"/>
        <w:jc w:val="both"/>
        <w:rPr>
          <w:rFonts w:ascii="Times New Roman" w:hAnsi="Times New Roman" w:cs="Times New Roman"/>
          <w:b/>
        </w:rPr>
      </w:pPr>
    </w:p>
    <w:p w14:paraId="5A35A6A4" w14:textId="2EA88A77" w:rsidR="00AE3A4E" w:rsidRPr="00F35B34" w:rsidRDefault="00AE3A4E" w:rsidP="00A6071F">
      <w:pPr>
        <w:pStyle w:val="a3"/>
        <w:numPr>
          <w:ilvl w:val="0"/>
          <w:numId w:val="37"/>
        </w:numPr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Определение ожидаемой доходности</w:t>
      </w:r>
    </w:p>
    <w:p w14:paraId="5746C382" w14:textId="77777777" w:rsidR="00AE3A4E" w:rsidRPr="00F35B34" w:rsidRDefault="00AE3A4E" w:rsidP="007D2546">
      <w:pPr>
        <w:spacing w:after="0"/>
        <w:ind w:left="-284" w:firstLine="568"/>
        <w:jc w:val="both"/>
        <w:rPr>
          <w:rFonts w:ascii="Times New Roman" w:hAnsi="Times New Roman" w:cs="Times New Roman"/>
          <w:b/>
        </w:rPr>
      </w:pPr>
    </w:p>
    <w:p w14:paraId="50C73B93" w14:textId="42F716D9" w:rsidR="00AE3A4E" w:rsidRPr="00F35B34" w:rsidRDefault="00AE3A4E" w:rsidP="006E4186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Ожидаемая доходность определяется на установленном инвестиционном горизонте в процентах годовых. Значение ожидаемой доходности отражается в инвестиционном профиле</w:t>
      </w:r>
      <w:r w:rsidR="006E25EF" w:rsidRPr="00F35B34">
        <w:rPr>
          <w:rFonts w:ascii="Times New Roman" w:hAnsi="Times New Roman" w:cs="Times New Roman"/>
        </w:rPr>
        <w:t xml:space="preserve"> к</w:t>
      </w:r>
      <w:r w:rsidRPr="00F35B34">
        <w:rPr>
          <w:rFonts w:ascii="Times New Roman" w:hAnsi="Times New Roman" w:cs="Times New Roman"/>
        </w:rPr>
        <w:t>л</w:t>
      </w:r>
      <w:r w:rsidR="00DE1EC5" w:rsidRPr="00F35B34">
        <w:rPr>
          <w:rFonts w:ascii="Times New Roman" w:hAnsi="Times New Roman" w:cs="Times New Roman"/>
        </w:rPr>
        <w:t>иента и устанавливается, как ниже средней, умеренная, выше средней, высокая</w:t>
      </w:r>
      <w:r w:rsidRPr="00F35B34">
        <w:rPr>
          <w:rFonts w:ascii="Times New Roman" w:hAnsi="Times New Roman" w:cs="Times New Roman"/>
        </w:rPr>
        <w:t>:</w:t>
      </w:r>
    </w:p>
    <w:p w14:paraId="1C346C55" w14:textId="77777777" w:rsidR="007A4841" w:rsidRPr="00F35B34" w:rsidRDefault="007A4841" w:rsidP="007A4841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818"/>
        <w:gridCol w:w="1701"/>
        <w:gridCol w:w="5380"/>
      </w:tblGrid>
      <w:tr w:rsidR="00F35B34" w:rsidRPr="00F35B34" w14:paraId="345844F6" w14:textId="77777777" w:rsidTr="007D2546">
        <w:trPr>
          <w:jc w:val="center"/>
        </w:trPr>
        <w:tc>
          <w:tcPr>
            <w:tcW w:w="445" w:type="dxa"/>
          </w:tcPr>
          <w:p w14:paraId="06455F15" w14:textId="2F2ECD48" w:rsidR="00AE3A4E" w:rsidRPr="00F35B34" w:rsidRDefault="00DE1EC5" w:rsidP="006E4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8" w:type="dxa"/>
          </w:tcPr>
          <w:p w14:paraId="1543189C" w14:textId="744CA7B4" w:rsidR="00AE3A4E" w:rsidRPr="00F35B34" w:rsidRDefault="00AE3A4E" w:rsidP="006E4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Ожидаемая доходность</w:t>
            </w:r>
          </w:p>
        </w:tc>
        <w:tc>
          <w:tcPr>
            <w:tcW w:w="1701" w:type="dxa"/>
          </w:tcPr>
          <w:p w14:paraId="2E5D5297" w14:textId="0B92AEA8" w:rsidR="00AE3A4E" w:rsidRPr="00F35B34" w:rsidRDefault="00AE3A4E" w:rsidP="006E4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Ожидаемая доходность, %</w:t>
            </w:r>
          </w:p>
        </w:tc>
        <w:tc>
          <w:tcPr>
            <w:tcW w:w="5381" w:type="dxa"/>
          </w:tcPr>
          <w:p w14:paraId="4D3639E8" w14:textId="77777777" w:rsidR="00AE3A4E" w:rsidRPr="00F35B34" w:rsidRDefault="00AE3A4E" w:rsidP="006E4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Возможные для инвестирования финансовые инструменты, соответствующие ожидаемой доходности</w:t>
            </w:r>
          </w:p>
        </w:tc>
      </w:tr>
      <w:tr w:rsidR="00F35B34" w:rsidRPr="00F35B34" w14:paraId="5C82A344" w14:textId="77777777" w:rsidTr="007D2546">
        <w:trPr>
          <w:jc w:val="center"/>
        </w:trPr>
        <w:tc>
          <w:tcPr>
            <w:tcW w:w="445" w:type="dxa"/>
          </w:tcPr>
          <w:p w14:paraId="395A5660" w14:textId="31861E58" w:rsidR="00AE3A4E" w:rsidRPr="00F35B34" w:rsidRDefault="00DE1EC5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14:paraId="73D0C7E1" w14:textId="743B1CC7" w:rsidR="00AE3A4E" w:rsidRPr="00F35B34" w:rsidRDefault="00DE1EC5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Ниже средней</w:t>
            </w:r>
          </w:p>
        </w:tc>
        <w:tc>
          <w:tcPr>
            <w:tcW w:w="1701" w:type="dxa"/>
          </w:tcPr>
          <w:p w14:paraId="59B085E1" w14:textId="4E4024E0" w:rsidR="00AE3A4E" w:rsidRPr="00F35B34" w:rsidRDefault="00DE1EC5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</w:t>
            </w:r>
            <w:r w:rsidR="00EF116C" w:rsidRPr="00F35B3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381" w:type="dxa"/>
          </w:tcPr>
          <w:p w14:paraId="0922967B" w14:textId="347B3C21" w:rsidR="00EF116C" w:rsidRPr="00F35B34" w:rsidRDefault="00DE1EC5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Банковские вклады </w:t>
            </w:r>
            <w:r w:rsidR="00EF116C" w:rsidRPr="00F35B34">
              <w:rPr>
                <w:rFonts w:ascii="Times New Roman" w:hAnsi="Times New Roman" w:cs="Times New Roman"/>
              </w:rPr>
              <w:t>(депозиты)</w:t>
            </w:r>
            <w:r w:rsidR="00702BFE" w:rsidRPr="00F35B34">
              <w:rPr>
                <w:rFonts w:ascii="Times New Roman" w:hAnsi="Times New Roman" w:cs="Times New Roman"/>
              </w:rPr>
              <w:t>;</w:t>
            </w:r>
          </w:p>
          <w:p w14:paraId="640CDCE2" w14:textId="3A717A18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Гос</w:t>
            </w:r>
            <w:r w:rsidR="00EF116C" w:rsidRPr="00F35B34">
              <w:rPr>
                <w:rFonts w:ascii="Times New Roman" w:hAnsi="Times New Roman" w:cs="Times New Roman"/>
              </w:rPr>
              <w:t>ударственные ценные бумаги Российской Федерации.</w:t>
            </w:r>
          </w:p>
        </w:tc>
      </w:tr>
      <w:tr w:rsidR="00F35B34" w:rsidRPr="00F35B34" w14:paraId="09EA8B22" w14:textId="77777777" w:rsidTr="007D2546">
        <w:trPr>
          <w:jc w:val="center"/>
        </w:trPr>
        <w:tc>
          <w:tcPr>
            <w:tcW w:w="445" w:type="dxa"/>
          </w:tcPr>
          <w:p w14:paraId="1ABE4764" w14:textId="0146F1FC" w:rsidR="00AE3A4E" w:rsidRPr="00F35B34" w:rsidRDefault="00DE1EC5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14:paraId="74FF8B29" w14:textId="5E8C2333" w:rsidR="00AE3A4E" w:rsidRPr="00F35B34" w:rsidRDefault="00AE3A4E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701" w:type="dxa"/>
          </w:tcPr>
          <w:p w14:paraId="10C57915" w14:textId="609453C7" w:rsidR="00AE3A4E" w:rsidRPr="00F35B34" w:rsidRDefault="00EF116C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10,01-15</w:t>
            </w:r>
            <w:r w:rsidR="00DE1EC5" w:rsidRPr="00F35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381" w:type="dxa"/>
          </w:tcPr>
          <w:p w14:paraId="624F8387" w14:textId="33C25B14" w:rsidR="00702BFE" w:rsidRPr="00F35B34" w:rsidRDefault="00E0461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Инструменты, указанные в пункте </w:t>
            </w:r>
            <w:r w:rsidR="00702BFE" w:rsidRPr="00F35B34">
              <w:rPr>
                <w:rFonts w:ascii="Times New Roman" w:hAnsi="Times New Roman" w:cs="Times New Roman"/>
              </w:rPr>
              <w:t>1;</w:t>
            </w:r>
          </w:p>
          <w:p w14:paraId="67AB8D54" w14:textId="4D8C5A4D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Облигации</w:t>
            </w:r>
            <w:r w:rsidR="00702BFE" w:rsidRPr="00F35B34">
              <w:rPr>
                <w:rFonts w:ascii="Times New Roman" w:hAnsi="Times New Roman" w:cs="Times New Roman"/>
              </w:rPr>
              <w:t xml:space="preserve"> субъектов Российской Федерации;</w:t>
            </w:r>
          </w:p>
          <w:p w14:paraId="02C2E57D" w14:textId="5850F2B0" w:rsidR="00AE3A4E" w:rsidRPr="00F35B34" w:rsidRDefault="00AE3A4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Корпоративные облигации российских эмитентов с рейтингами не ниже </w:t>
            </w:r>
            <w:r w:rsidRPr="00F35B34">
              <w:rPr>
                <w:rFonts w:ascii="Times New Roman" w:hAnsi="Times New Roman" w:cs="Times New Roman"/>
                <w:lang w:val="en-US"/>
              </w:rPr>
              <w:t>BBB</w:t>
            </w:r>
            <w:r w:rsidRPr="00F35B34">
              <w:rPr>
                <w:rFonts w:ascii="Times New Roman" w:hAnsi="Times New Roman" w:cs="Times New Roman"/>
              </w:rPr>
              <w:t xml:space="preserve"> (</w:t>
            </w:r>
            <w:r w:rsidRPr="00F35B34">
              <w:rPr>
                <w:rFonts w:ascii="Times New Roman" w:hAnsi="Times New Roman" w:cs="Times New Roman"/>
                <w:lang w:val="en-US"/>
              </w:rPr>
              <w:t>Baa</w:t>
            </w:r>
            <w:r w:rsidRPr="00F35B34">
              <w:rPr>
                <w:rFonts w:ascii="Times New Roman" w:hAnsi="Times New Roman" w:cs="Times New Roman"/>
              </w:rPr>
              <w:t xml:space="preserve">3), </w:t>
            </w:r>
          </w:p>
        </w:tc>
      </w:tr>
      <w:tr w:rsidR="00F35B34" w:rsidRPr="00F35B34" w14:paraId="59B45204" w14:textId="77777777" w:rsidTr="007D2546">
        <w:trPr>
          <w:jc w:val="center"/>
        </w:trPr>
        <w:tc>
          <w:tcPr>
            <w:tcW w:w="445" w:type="dxa"/>
          </w:tcPr>
          <w:p w14:paraId="05E85CF7" w14:textId="19BE0620" w:rsidR="00AE3A4E" w:rsidRPr="00F35B34" w:rsidRDefault="00DE1EC5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14:paraId="0178DF6B" w14:textId="2A77B024" w:rsidR="00AE3A4E" w:rsidRPr="00F35B34" w:rsidRDefault="00DE1EC5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Выше средней</w:t>
            </w:r>
          </w:p>
        </w:tc>
        <w:tc>
          <w:tcPr>
            <w:tcW w:w="1701" w:type="dxa"/>
          </w:tcPr>
          <w:p w14:paraId="3E433062" w14:textId="23116C06" w:rsidR="00AE3A4E" w:rsidRPr="00F35B34" w:rsidRDefault="00EF116C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15,01-20</w:t>
            </w:r>
            <w:r w:rsidR="00DE1EC5" w:rsidRPr="00F35B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381" w:type="dxa"/>
          </w:tcPr>
          <w:p w14:paraId="7D5F2394" w14:textId="386D1E67" w:rsidR="00702BFE" w:rsidRPr="00F35B34" w:rsidRDefault="00702BF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Инструменты, </w:t>
            </w:r>
            <w:r w:rsidR="00E0461E" w:rsidRPr="00F35B34">
              <w:rPr>
                <w:rFonts w:ascii="Times New Roman" w:hAnsi="Times New Roman" w:cs="Times New Roman"/>
              </w:rPr>
              <w:t>указанные в пунктах 1 и</w:t>
            </w:r>
            <w:r w:rsidR="007A4841" w:rsidRPr="00F35B34">
              <w:rPr>
                <w:rFonts w:ascii="Times New Roman" w:hAnsi="Times New Roman" w:cs="Times New Roman"/>
              </w:rPr>
              <w:t xml:space="preserve"> </w:t>
            </w:r>
            <w:r w:rsidRPr="00F35B34">
              <w:rPr>
                <w:rFonts w:ascii="Times New Roman" w:hAnsi="Times New Roman" w:cs="Times New Roman"/>
              </w:rPr>
              <w:t>2;</w:t>
            </w:r>
          </w:p>
          <w:p w14:paraId="32A4072F" w14:textId="365887D1" w:rsidR="00AE3A4E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Корпоративные облигации третьего эшелона с рейтингами не выше </w:t>
            </w:r>
            <w:r w:rsidRPr="00F35B34">
              <w:rPr>
                <w:rFonts w:ascii="Times New Roman" w:hAnsi="Times New Roman" w:cs="Times New Roman"/>
                <w:lang w:val="en-US"/>
              </w:rPr>
              <w:t>BB</w:t>
            </w:r>
            <w:r w:rsidRPr="00F35B34">
              <w:rPr>
                <w:rFonts w:ascii="Times New Roman" w:hAnsi="Times New Roman" w:cs="Times New Roman"/>
              </w:rPr>
              <w:t>+(</w:t>
            </w:r>
            <w:r w:rsidRPr="00F35B34">
              <w:rPr>
                <w:rFonts w:ascii="Times New Roman" w:hAnsi="Times New Roman" w:cs="Times New Roman"/>
                <w:lang w:val="en-US"/>
              </w:rPr>
              <w:t>Ba</w:t>
            </w:r>
            <w:r w:rsidRPr="00F35B34">
              <w:rPr>
                <w:rFonts w:ascii="Times New Roman" w:hAnsi="Times New Roman" w:cs="Times New Roman"/>
              </w:rPr>
              <w:t>1).</w:t>
            </w:r>
          </w:p>
        </w:tc>
      </w:tr>
      <w:tr w:rsidR="00DE1EC5" w:rsidRPr="00F35B34" w14:paraId="368E4336" w14:textId="77777777" w:rsidTr="007D2546">
        <w:trPr>
          <w:jc w:val="center"/>
        </w:trPr>
        <w:tc>
          <w:tcPr>
            <w:tcW w:w="445" w:type="dxa"/>
          </w:tcPr>
          <w:p w14:paraId="24BF9608" w14:textId="0AB54444" w:rsidR="00DE1EC5" w:rsidRPr="00F35B34" w:rsidRDefault="00DE1EC5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14:paraId="64EB7CA8" w14:textId="7CDCB562" w:rsidR="00DE1EC5" w:rsidRPr="00F35B34" w:rsidRDefault="00DE1EC5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701" w:type="dxa"/>
          </w:tcPr>
          <w:p w14:paraId="391A2B5F" w14:textId="69AA6488" w:rsidR="00DE1EC5" w:rsidRPr="00F35B34" w:rsidRDefault="00DE1EC5" w:rsidP="007D2546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Больше 20,00</w:t>
            </w:r>
          </w:p>
        </w:tc>
        <w:tc>
          <w:tcPr>
            <w:tcW w:w="5381" w:type="dxa"/>
          </w:tcPr>
          <w:p w14:paraId="15209B57" w14:textId="05BC59C8" w:rsidR="00702BFE" w:rsidRPr="00F35B34" w:rsidRDefault="00702BFE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Инструменты, указанные в </w:t>
            </w:r>
            <w:r w:rsidR="00E0461E" w:rsidRPr="00F35B34">
              <w:rPr>
                <w:rFonts w:ascii="Times New Roman" w:hAnsi="Times New Roman" w:cs="Times New Roman"/>
              </w:rPr>
              <w:t xml:space="preserve">пунктах 1, 2, </w:t>
            </w:r>
            <w:r w:rsidRPr="00F35B34">
              <w:rPr>
                <w:rFonts w:ascii="Times New Roman" w:hAnsi="Times New Roman" w:cs="Times New Roman"/>
              </w:rPr>
              <w:t>3;</w:t>
            </w:r>
          </w:p>
          <w:p w14:paraId="3BFEBC65" w14:textId="428F78F8" w:rsidR="00DE1EC5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Акции российских эмитентов. Российские и иностранные депозитарные расписки на акции российских и иностранных компаний.</w:t>
            </w:r>
          </w:p>
        </w:tc>
      </w:tr>
    </w:tbl>
    <w:p w14:paraId="75BB4947" w14:textId="4DAC75A5" w:rsidR="00AE3A4E" w:rsidRPr="00F35B34" w:rsidRDefault="00AE3A4E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6C2A1980" w14:textId="38DE30C5" w:rsidR="00380911" w:rsidRPr="00F35B34" w:rsidRDefault="00380911" w:rsidP="007A4841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</w:p>
    <w:p w14:paraId="4DC1A8C4" w14:textId="1AF44689" w:rsidR="00EF116C" w:rsidRPr="00F35B34" w:rsidRDefault="00EF116C" w:rsidP="007A4841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При определении Инвестиционного профиля и/или Стандартного инвестиционного профиля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лиента, не являющегося квалифицированным инвестором, ожидаемая доходность устанавливается в зависимости от определенного для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 </w:t>
      </w:r>
      <w:r w:rsidR="00667B6A" w:rsidRPr="00F35B34">
        <w:rPr>
          <w:rFonts w:ascii="Times New Roman" w:hAnsi="Times New Roman" w:cs="Times New Roman"/>
        </w:rPr>
        <w:t>д</w:t>
      </w:r>
      <w:r w:rsidRPr="00F35B34">
        <w:rPr>
          <w:rFonts w:ascii="Times New Roman" w:hAnsi="Times New Roman" w:cs="Times New Roman"/>
        </w:rPr>
        <w:t>опустимого риска в соответствии со следующей таблицей:</w:t>
      </w:r>
    </w:p>
    <w:p w14:paraId="5CB265C5" w14:textId="77777777" w:rsidR="007A4841" w:rsidRPr="00F35B34" w:rsidRDefault="007A4841" w:rsidP="007A4841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F35B34" w:rsidRPr="00F35B34" w14:paraId="4768287B" w14:textId="77777777" w:rsidTr="00D3672D">
        <w:trPr>
          <w:jc w:val="center"/>
        </w:trPr>
        <w:tc>
          <w:tcPr>
            <w:tcW w:w="4672" w:type="dxa"/>
          </w:tcPr>
          <w:p w14:paraId="0AEDF21D" w14:textId="766CE1C3" w:rsidR="00EF116C" w:rsidRPr="00F35B34" w:rsidRDefault="00EF116C" w:rsidP="007A4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Допустимый риск</w:t>
            </w:r>
          </w:p>
        </w:tc>
        <w:tc>
          <w:tcPr>
            <w:tcW w:w="4673" w:type="dxa"/>
          </w:tcPr>
          <w:p w14:paraId="656DFBF7" w14:textId="0FCD7E91" w:rsidR="00EF116C" w:rsidRPr="00F35B34" w:rsidRDefault="00EF116C" w:rsidP="007A4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Ожидаемая доходность</w:t>
            </w:r>
          </w:p>
        </w:tc>
      </w:tr>
      <w:tr w:rsidR="00F35B34" w:rsidRPr="00F35B34" w14:paraId="0EC5090B" w14:textId="77777777" w:rsidTr="00D3672D">
        <w:trPr>
          <w:jc w:val="center"/>
        </w:trPr>
        <w:tc>
          <w:tcPr>
            <w:tcW w:w="4672" w:type="dxa"/>
          </w:tcPr>
          <w:p w14:paraId="01E5CE81" w14:textId="0AB85757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Консервативный</w:t>
            </w:r>
          </w:p>
        </w:tc>
        <w:tc>
          <w:tcPr>
            <w:tcW w:w="4673" w:type="dxa"/>
          </w:tcPr>
          <w:p w14:paraId="682FD9D7" w14:textId="01C0AF65" w:rsidR="00EF116C" w:rsidRPr="00F35B34" w:rsidRDefault="001C0FF2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Ниже средней</w:t>
            </w:r>
          </w:p>
        </w:tc>
      </w:tr>
      <w:tr w:rsidR="00F35B34" w:rsidRPr="00F35B34" w14:paraId="40FC5705" w14:textId="77777777" w:rsidTr="00D3672D">
        <w:trPr>
          <w:jc w:val="center"/>
        </w:trPr>
        <w:tc>
          <w:tcPr>
            <w:tcW w:w="4672" w:type="dxa"/>
          </w:tcPr>
          <w:p w14:paraId="37F89FBF" w14:textId="521AE149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673" w:type="dxa"/>
          </w:tcPr>
          <w:p w14:paraId="5815376E" w14:textId="3DDCB09D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Умеренная</w:t>
            </w:r>
          </w:p>
        </w:tc>
      </w:tr>
      <w:tr w:rsidR="00F35B34" w:rsidRPr="00F35B34" w14:paraId="00EFF870" w14:textId="77777777" w:rsidTr="00D3672D">
        <w:trPr>
          <w:jc w:val="center"/>
        </w:trPr>
        <w:tc>
          <w:tcPr>
            <w:tcW w:w="4672" w:type="dxa"/>
          </w:tcPr>
          <w:p w14:paraId="2BA32F69" w14:textId="3D5F9F6E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673" w:type="dxa"/>
          </w:tcPr>
          <w:p w14:paraId="2E5EABC2" w14:textId="05EE58B6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Выше средней</w:t>
            </w:r>
          </w:p>
        </w:tc>
      </w:tr>
      <w:tr w:rsidR="00EF116C" w:rsidRPr="00F35B34" w14:paraId="4458D496" w14:textId="77777777" w:rsidTr="00D3672D">
        <w:trPr>
          <w:jc w:val="center"/>
        </w:trPr>
        <w:tc>
          <w:tcPr>
            <w:tcW w:w="4672" w:type="dxa"/>
          </w:tcPr>
          <w:p w14:paraId="111A94B1" w14:textId="47BE1214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73" w:type="dxa"/>
          </w:tcPr>
          <w:p w14:paraId="43C70007" w14:textId="1A01B87F" w:rsidR="00EF116C" w:rsidRPr="00F35B34" w:rsidRDefault="00EF116C" w:rsidP="007D2546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Высокая</w:t>
            </w:r>
          </w:p>
        </w:tc>
      </w:tr>
    </w:tbl>
    <w:p w14:paraId="1EDF3F0A" w14:textId="77777777" w:rsidR="00EF116C" w:rsidRPr="00F35B34" w:rsidRDefault="00EF116C" w:rsidP="007D2546">
      <w:pPr>
        <w:spacing w:after="0"/>
        <w:ind w:left="-284" w:firstLine="568"/>
        <w:jc w:val="both"/>
        <w:rPr>
          <w:rFonts w:ascii="Times New Roman" w:hAnsi="Times New Roman" w:cs="Times New Roman"/>
        </w:rPr>
      </w:pPr>
    </w:p>
    <w:p w14:paraId="200F3A6B" w14:textId="6AA2E645" w:rsidR="00AE3A4E" w:rsidRPr="00F35B34" w:rsidRDefault="00EF116C" w:rsidP="007A4841">
      <w:pPr>
        <w:pStyle w:val="a3"/>
        <w:numPr>
          <w:ilvl w:val="0"/>
          <w:numId w:val="4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Ожидаемая доходность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лиента, указанная в его </w:t>
      </w:r>
      <w:r w:rsidR="00296DE2" w:rsidRPr="00F35B34">
        <w:rPr>
          <w:rFonts w:ascii="Times New Roman" w:hAnsi="Times New Roman" w:cs="Times New Roman"/>
        </w:rPr>
        <w:t>и</w:t>
      </w:r>
      <w:r w:rsidRPr="00F35B34">
        <w:rPr>
          <w:rFonts w:ascii="Times New Roman" w:hAnsi="Times New Roman" w:cs="Times New Roman"/>
        </w:rPr>
        <w:t xml:space="preserve">нвестиционном профиле и/или </w:t>
      </w:r>
      <w:r w:rsidR="00296DE2" w:rsidRPr="00F35B34">
        <w:rPr>
          <w:rFonts w:ascii="Times New Roman" w:hAnsi="Times New Roman" w:cs="Times New Roman"/>
        </w:rPr>
        <w:t>с</w:t>
      </w:r>
      <w:r w:rsidRPr="00F35B34">
        <w:rPr>
          <w:rFonts w:ascii="Times New Roman" w:hAnsi="Times New Roman" w:cs="Times New Roman"/>
        </w:rPr>
        <w:t xml:space="preserve">тандартном инвестиционном профиле, не накладывает на Банк обязанности по ее достижению и не является гарантией для </w:t>
      </w:r>
      <w:r w:rsidR="00667B6A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лиента.</w:t>
      </w:r>
    </w:p>
    <w:p w14:paraId="595A07F6" w14:textId="6DF03DB5" w:rsidR="00320256" w:rsidRPr="00F35B34" w:rsidRDefault="00320256" w:rsidP="007D2546">
      <w:pPr>
        <w:ind w:left="-284" w:firstLine="568"/>
        <w:jc w:val="both"/>
        <w:rPr>
          <w:rFonts w:ascii="Times New Roman" w:hAnsi="Times New Roman" w:cs="Times New Roman"/>
        </w:rPr>
      </w:pPr>
    </w:p>
    <w:p w14:paraId="3418089C" w14:textId="77777777" w:rsidR="00320256" w:rsidRPr="00F35B34" w:rsidRDefault="00320256" w:rsidP="00320256">
      <w:pPr>
        <w:pStyle w:val="a3"/>
        <w:numPr>
          <w:ilvl w:val="0"/>
          <w:numId w:val="46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Ответственность и контроль соблюдения Порядка</w:t>
      </w:r>
    </w:p>
    <w:p w14:paraId="190F1E2B" w14:textId="77777777" w:rsidR="00320256" w:rsidRPr="00F35B34" w:rsidRDefault="00320256" w:rsidP="00320256">
      <w:pPr>
        <w:pStyle w:val="a3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14:paraId="740514C2" w14:textId="39FCD7BB" w:rsidR="00320256" w:rsidRPr="00F35B34" w:rsidRDefault="00320256" w:rsidP="0089268A">
      <w:pPr>
        <w:pStyle w:val="a3"/>
        <w:numPr>
          <w:ilvl w:val="1"/>
          <w:numId w:val="46"/>
        </w:numPr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lastRenderedPageBreak/>
        <w:t xml:space="preserve">Требования настоящего Порядка подлежат обязательному исполнению </w:t>
      </w:r>
      <w:r w:rsidR="001D5D70" w:rsidRPr="00F35B34">
        <w:rPr>
          <w:rFonts w:ascii="Times New Roman" w:hAnsi="Times New Roman" w:cs="Times New Roman"/>
        </w:rPr>
        <w:t>всеми сотрудниками направления доверительного управления Банка.</w:t>
      </w:r>
    </w:p>
    <w:p w14:paraId="7D1E1478" w14:textId="3D2C6B4C" w:rsidR="00320256" w:rsidRPr="00F35B34" w:rsidRDefault="00320256" w:rsidP="00C3379E">
      <w:pPr>
        <w:pStyle w:val="a3"/>
        <w:numPr>
          <w:ilvl w:val="1"/>
          <w:numId w:val="46"/>
        </w:numPr>
        <w:ind w:left="0" w:firstLine="284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</w:rPr>
        <w:t xml:space="preserve">Контроль исполнения требований, изложенных в Порядке, возлагается на начальника Подразделения по ценным бумагам, ответственного за проведение операций/сделок на рынке ценных бумаг.  </w:t>
      </w:r>
      <w:r w:rsidRPr="00F35B34">
        <w:rPr>
          <w:rFonts w:ascii="Times New Roman" w:hAnsi="Times New Roman" w:cs="Times New Roman"/>
          <w:i/>
        </w:rPr>
        <w:t xml:space="preserve"> </w:t>
      </w:r>
    </w:p>
    <w:p w14:paraId="0604451F" w14:textId="30B17DCB" w:rsidR="00320256" w:rsidRPr="00F35B34" w:rsidRDefault="00320256" w:rsidP="00C3379E">
      <w:pPr>
        <w:pStyle w:val="a3"/>
        <w:numPr>
          <w:ilvl w:val="1"/>
          <w:numId w:val="46"/>
        </w:numPr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Ответственность за неисполнение (нарушение) требований настоящего Порядка возлагается на сотрудников Банка, допустивших нарушения, а также на их непосредственных руководителей в соответствии с нормами действующего законодательства.</w:t>
      </w:r>
    </w:p>
    <w:p w14:paraId="6074F673" w14:textId="417A7F02" w:rsidR="00320256" w:rsidRPr="00F35B34" w:rsidRDefault="00320256" w:rsidP="00C3379E">
      <w:pPr>
        <w:pStyle w:val="a3"/>
        <w:numPr>
          <w:ilvl w:val="1"/>
          <w:numId w:val="46"/>
        </w:numPr>
        <w:ind w:left="0" w:firstLine="284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</w:rPr>
        <w:t xml:space="preserve">Осуществление внутреннего контроля за соответствием определения инвестиционного профиля клиента и настоящего Порядка </w:t>
      </w:r>
      <w:proofErr w:type="gramStart"/>
      <w:r w:rsidRPr="00F35B34">
        <w:rPr>
          <w:rFonts w:ascii="Times New Roman" w:hAnsi="Times New Roman" w:cs="Times New Roman"/>
        </w:rPr>
        <w:t>требованиям  законодательства</w:t>
      </w:r>
      <w:proofErr w:type="gramEnd"/>
      <w:r w:rsidRPr="00F35B34">
        <w:rPr>
          <w:rFonts w:ascii="Times New Roman" w:hAnsi="Times New Roman" w:cs="Times New Roman"/>
        </w:rPr>
        <w:t xml:space="preserve"> Российской Федерации, в том числе нормативных правовых актов  Банка России,  возлагается на Службу внутреннего контроля  в соответствии с Правилами внутреннего контроля за осуществлением АКБ "Алмазэргиэнбанк" АО  профессиональной деятельности на рынке ценных бумаг 1136-ПВ.   </w:t>
      </w:r>
      <w:r w:rsidRPr="00F35B34">
        <w:rPr>
          <w:rFonts w:ascii="Times New Roman" w:hAnsi="Times New Roman" w:cs="Times New Roman"/>
          <w:i/>
        </w:rPr>
        <w:t xml:space="preserve"> </w:t>
      </w:r>
    </w:p>
    <w:p w14:paraId="021F7F4F" w14:textId="77777777" w:rsidR="00320256" w:rsidRPr="00F35B34" w:rsidRDefault="00320256" w:rsidP="00C3379E">
      <w:pPr>
        <w:pStyle w:val="a3"/>
        <w:numPr>
          <w:ilvl w:val="1"/>
          <w:numId w:val="46"/>
        </w:numPr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Служба внутреннего аудита осуществляет контроль выполнения настоящего Порядка в ходе плановых проверок, утвержденных Наблюдательным советом Банка.</w:t>
      </w:r>
    </w:p>
    <w:p w14:paraId="7769E235" w14:textId="77777777" w:rsidR="00320256" w:rsidRPr="00F35B34" w:rsidRDefault="00320256" w:rsidP="007D2546">
      <w:pPr>
        <w:ind w:left="-284" w:firstLine="568"/>
        <w:jc w:val="both"/>
        <w:rPr>
          <w:rFonts w:ascii="Times New Roman" w:hAnsi="Times New Roman" w:cs="Times New Roman"/>
        </w:rPr>
      </w:pPr>
    </w:p>
    <w:p w14:paraId="47C7DA0E" w14:textId="13DFFF43" w:rsidR="006320F5" w:rsidRPr="00F35B34" w:rsidRDefault="006320F5" w:rsidP="00C3379E">
      <w:pPr>
        <w:pStyle w:val="a3"/>
        <w:numPr>
          <w:ilvl w:val="0"/>
          <w:numId w:val="46"/>
        </w:numPr>
        <w:jc w:val="center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Заключительные положения</w:t>
      </w:r>
    </w:p>
    <w:p w14:paraId="13507593" w14:textId="77777777" w:rsidR="00F42D1A" w:rsidRPr="00F35B34" w:rsidRDefault="00F42D1A" w:rsidP="00F42D1A">
      <w:pPr>
        <w:pStyle w:val="a3"/>
        <w:ind w:left="1004"/>
        <w:rPr>
          <w:rFonts w:ascii="Times New Roman" w:hAnsi="Times New Roman" w:cs="Times New Roman"/>
          <w:b/>
        </w:rPr>
      </w:pPr>
    </w:p>
    <w:p w14:paraId="36F5F7CB" w14:textId="51D9E511" w:rsidR="006320F5" w:rsidRPr="00F35B34" w:rsidRDefault="006320F5" w:rsidP="00F42D1A">
      <w:pPr>
        <w:pStyle w:val="a3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Настоящий Порядок утверждается Председателем Правления и вступает в силу по истечении 10 календарных дней со дня раскрытия на официальном сайте Банка в информационно-телекоммуникационной сети «Интернет».  </w:t>
      </w:r>
    </w:p>
    <w:p w14:paraId="153002C3" w14:textId="6A9A6DDA" w:rsidR="006320F5" w:rsidRPr="00F35B34" w:rsidRDefault="006320F5" w:rsidP="00F42D1A">
      <w:pPr>
        <w:pStyle w:val="a3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С даты вступления с силу настоящего Порядка утрачивает силу Порядок определения инвестиционного профиля клиента при осуществлении доверительного управления в АКБ «Алмазэргиэнбанк» АО </w:t>
      </w:r>
      <w:r w:rsidR="00D37709" w:rsidRPr="00F35B34">
        <w:rPr>
          <w:rFonts w:ascii="Times New Roman" w:hAnsi="Times New Roman" w:cs="Times New Roman"/>
        </w:rPr>
        <w:t xml:space="preserve">№616-ПД </w:t>
      </w:r>
      <w:r w:rsidRPr="00F35B34">
        <w:rPr>
          <w:rFonts w:ascii="Times New Roman" w:hAnsi="Times New Roman" w:cs="Times New Roman"/>
        </w:rPr>
        <w:t xml:space="preserve">от </w:t>
      </w:r>
      <w:proofErr w:type="gramStart"/>
      <w:r w:rsidR="00D37709" w:rsidRPr="00F35B34">
        <w:rPr>
          <w:rFonts w:ascii="Times New Roman" w:hAnsi="Times New Roman" w:cs="Times New Roman"/>
        </w:rPr>
        <w:t>23.10.2019</w:t>
      </w:r>
      <w:r w:rsidRPr="00F35B34">
        <w:rPr>
          <w:rFonts w:ascii="Times New Roman" w:hAnsi="Times New Roman" w:cs="Times New Roman"/>
        </w:rPr>
        <w:t xml:space="preserve">  </w:t>
      </w:r>
      <w:r w:rsidR="00D37709" w:rsidRPr="00F35B34">
        <w:rPr>
          <w:rFonts w:ascii="Times New Roman" w:hAnsi="Times New Roman" w:cs="Times New Roman"/>
        </w:rPr>
        <w:t>г.</w:t>
      </w:r>
      <w:proofErr w:type="gramEnd"/>
      <w:r w:rsidR="00D37709" w:rsidRPr="00F35B34">
        <w:rPr>
          <w:rFonts w:ascii="Times New Roman" w:hAnsi="Times New Roman" w:cs="Times New Roman"/>
        </w:rPr>
        <w:t xml:space="preserve"> </w:t>
      </w:r>
    </w:p>
    <w:p w14:paraId="6DE6A869" w14:textId="3D758D9E" w:rsidR="006320F5" w:rsidRPr="00F35B34" w:rsidRDefault="006320F5" w:rsidP="00F42D1A">
      <w:pPr>
        <w:pStyle w:val="a3"/>
        <w:numPr>
          <w:ilvl w:val="0"/>
          <w:numId w:val="4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Во всем остальном, что не предусмотрено настоящим Порядком при определении инвестиционного профиля клиента, </w:t>
      </w:r>
      <w:r w:rsidR="00BF3CFC" w:rsidRPr="00F35B34">
        <w:rPr>
          <w:rFonts w:ascii="Times New Roman" w:hAnsi="Times New Roman" w:cs="Times New Roman"/>
        </w:rPr>
        <w:t>Банк</w:t>
      </w:r>
      <w:r w:rsidRPr="00F35B34">
        <w:rPr>
          <w:rFonts w:ascii="Times New Roman" w:hAnsi="Times New Roman" w:cs="Times New Roman"/>
        </w:rPr>
        <w:t xml:space="preserve"> руководствуется действующим законодательством РФ и нормативными актами Банка России.</w:t>
      </w:r>
      <w:r w:rsidRPr="00F35B34">
        <w:rPr>
          <w:rFonts w:ascii="Times New Roman" w:hAnsi="Times New Roman" w:cs="Times New Roman"/>
        </w:rPr>
        <w:tab/>
      </w:r>
    </w:p>
    <w:p w14:paraId="44D7BF7A" w14:textId="77777777" w:rsidR="006320F5" w:rsidRPr="00F35B34" w:rsidRDefault="006320F5" w:rsidP="00F42D1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23D98490" w14:textId="30D87754" w:rsidR="006320F5" w:rsidRPr="00F35B34" w:rsidRDefault="006320F5" w:rsidP="00F42D1A">
      <w:pPr>
        <w:ind w:firstLine="284"/>
        <w:rPr>
          <w:rFonts w:ascii="Times New Roman" w:hAnsi="Times New Roman" w:cs="Times New Roman"/>
        </w:rPr>
      </w:pPr>
    </w:p>
    <w:p w14:paraId="7B66A6EE" w14:textId="2C1EFB5D" w:rsidR="00CB68D1" w:rsidRPr="00F35B34" w:rsidRDefault="00CB68D1" w:rsidP="007D2546">
      <w:pPr>
        <w:rPr>
          <w:rFonts w:ascii="Times New Roman" w:hAnsi="Times New Roman" w:cs="Times New Roman"/>
        </w:rPr>
      </w:pPr>
    </w:p>
    <w:p w14:paraId="3B9DDED9" w14:textId="527022A9" w:rsidR="00CB68D1" w:rsidRPr="00F35B34" w:rsidRDefault="00CB68D1" w:rsidP="007D2546">
      <w:pPr>
        <w:rPr>
          <w:rFonts w:ascii="Times New Roman" w:hAnsi="Times New Roman" w:cs="Times New Roman"/>
        </w:rPr>
      </w:pPr>
    </w:p>
    <w:p w14:paraId="32EEA009" w14:textId="077E4FAA" w:rsidR="008C3DF3" w:rsidRPr="00F35B34" w:rsidRDefault="008C3DF3" w:rsidP="007D2546">
      <w:pPr>
        <w:rPr>
          <w:rFonts w:ascii="Times New Roman" w:hAnsi="Times New Roman" w:cs="Times New Roman"/>
        </w:rPr>
      </w:pPr>
    </w:p>
    <w:p w14:paraId="13C2F0CC" w14:textId="389C72E3" w:rsidR="008C3DF3" w:rsidRPr="00F35B34" w:rsidRDefault="008C3DF3" w:rsidP="007D2546">
      <w:pPr>
        <w:rPr>
          <w:rFonts w:ascii="Times New Roman" w:hAnsi="Times New Roman" w:cs="Times New Roman"/>
        </w:rPr>
      </w:pPr>
    </w:p>
    <w:p w14:paraId="64F051D1" w14:textId="727FB995" w:rsidR="008C3DF3" w:rsidRPr="00F35B34" w:rsidRDefault="008C3DF3" w:rsidP="007D2546">
      <w:pPr>
        <w:rPr>
          <w:rFonts w:ascii="Times New Roman" w:hAnsi="Times New Roman" w:cs="Times New Roman"/>
        </w:rPr>
      </w:pPr>
    </w:p>
    <w:p w14:paraId="28FF703B" w14:textId="6A815EDF" w:rsidR="008C3DF3" w:rsidRPr="00F35B34" w:rsidRDefault="008C3DF3" w:rsidP="007D2546">
      <w:pPr>
        <w:rPr>
          <w:rFonts w:ascii="Times New Roman" w:hAnsi="Times New Roman" w:cs="Times New Roman"/>
        </w:rPr>
      </w:pPr>
    </w:p>
    <w:p w14:paraId="0021903F" w14:textId="22A75E56" w:rsidR="008C3DF3" w:rsidRPr="00F35B34" w:rsidRDefault="008C3DF3" w:rsidP="007D2546">
      <w:pPr>
        <w:rPr>
          <w:rFonts w:ascii="Times New Roman" w:hAnsi="Times New Roman" w:cs="Times New Roman"/>
        </w:rPr>
      </w:pPr>
    </w:p>
    <w:p w14:paraId="09DACB7C" w14:textId="29BD056D" w:rsidR="008C3DF3" w:rsidRPr="00F35B34" w:rsidRDefault="008C3DF3" w:rsidP="007D2546">
      <w:pPr>
        <w:rPr>
          <w:rFonts w:ascii="Times New Roman" w:hAnsi="Times New Roman" w:cs="Times New Roman"/>
        </w:rPr>
      </w:pPr>
    </w:p>
    <w:p w14:paraId="5385F4F9" w14:textId="5513CE25" w:rsidR="008C3DF3" w:rsidRPr="00F35B34" w:rsidRDefault="008C3DF3" w:rsidP="007D2546">
      <w:pPr>
        <w:rPr>
          <w:rFonts w:ascii="Times New Roman" w:hAnsi="Times New Roman" w:cs="Times New Roman"/>
        </w:rPr>
      </w:pPr>
    </w:p>
    <w:p w14:paraId="73D84B89" w14:textId="4BD6CEC4" w:rsidR="008C3DF3" w:rsidRPr="00F35B34" w:rsidRDefault="008C3DF3" w:rsidP="007D2546">
      <w:pPr>
        <w:rPr>
          <w:rFonts w:ascii="Times New Roman" w:hAnsi="Times New Roman" w:cs="Times New Roman"/>
        </w:rPr>
      </w:pPr>
    </w:p>
    <w:p w14:paraId="0AC702C2" w14:textId="0FC17FE1" w:rsidR="008C3DF3" w:rsidRPr="00F35B34" w:rsidRDefault="008C3DF3" w:rsidP="007D2546">
      <w:pPr>
        <w:rPr>
          <w:rFonts w:ascii="Times New Roman" w:hAnsi="Times New Roman" w:cs="Times New Roman"/>
        </w:rPr>
      </w:pPr>
    </w:p>
    <w:p w14:paraId="0D53A572" w14:textId="5CFEBD8F" w:rsidR="008C3DF3" w:rsidRPr="00F35B34" w:rsidRDefault="008C3DF3" w:rsidP="007D2546">
      <w:pPr>
        <w:rPr>
          <w:rFonts w:ascii="Times New Roman" w:hAnsi="Times New Roman" w:cs="Times New Roman"/>
        </w:rPr>
      </w:pPr>
    </w:p>
    <w:p w14:paraId="33BB0B2A" w14:textId="29A81989" w:rsidR="008C3DF3" w:rsidRPr="00F35B34" w:rsidRDefault="008C3DF3" w:rsidP="007D2546">
      <w:pPr>
        <w:rPr>
          <w:rFonts w:ascii="Times New Roman" w:hAnsi="Times New Roman" w:cs="Times New Roman"/>
        </w:rPr>
      </w:pPr>
    </w:p>
    <w:p w14:paraId="47CB7DBC" w14:textId="19016FEC" w:rsidR="00B20A70" w:rsidRPr="00F35B34" w:rsidRDefault="00B20A70" w:rsidP="00B20A7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№1 к Порядку определения инвестиционного профиля </w:t>
      </w:r>
    </w:p>
    <w:p w14:paraId="65FD410A" w14:textId="05133CA7" w:rsidR="00B20A70" w:rsidRPr="00F35B34" w:rsidRDefault="002D79E6" w:rsidP="00B20A7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</w:t>
      </w:r>
      <w:r w:rsidR="00B20A70" w:rsidRPr="00F35B34">
        <w:rPr>
          <w:rFonts w:ascii="Times New Roman" w:hAnsi="Times New Roman" w:cs="Times New Roman"/>
          <w:i/>
          <w:sz w:val="20"/>
          <w:szCs w:val="20"/>
        </w:rPr>
        <w:t>лиента при осуществлении доверительного управления</w:t>
      </w:r>
    </w:p>
    <w:p w14:paraId="0AF697A6" w14:textId="04EB8991" w:rsidR="00B20A70" w:rsidRPr="00F35B34" w:rsidRDefault="002D79E6" w:rsidP="00B20A7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</w:t>
      </w:r>
      <w:r w:rsidR="00B20A70" w:rsidRPr="00F35B34">
        <w:rPr>
          <w:rFonts w:ascii="Times New Roman" w:hAnsi="Times New Roman" w:cs="Times New Roman"/>
          <w:i/>
          <w:sz w:val="20"/>
          <w:szCs w:val="20"/>
        </w:rPr>
        <w:t xml:space="preserve"> АКБ «Алмазэргиэнбанк» АО №616-ПД</w:t>
      </w:r>
    </w:p>
    <w:p w14:paraId="5C9058D3" w14:textId="5FC33AE6" w:rsidR="00B20A70" w:rsidRPr="00F35B34" w:rsidRDefault="00A413AD" w:rsidP="00B20A7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EF6272E" w14:textId="6C11651C" w:rsidR="00B20A70" w:rsidRPr="00F35B34" w:rsidRDefault="00B20A70" w:rsidP="002D79E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АНКЕТА</w:t>
      </w:r>
    </w:p>
    <w:p w14:paraId="7260E0AD" w14:textId="315C0F8A" w:rsidR="00B20A70" w:rsidRPr="00F35B34" w:rsidRDefault="00B20A70" w:rsidP="002D79E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Для определения инвестиционного профиля клиента физического лица, в том числе физического лица, являющегося индивидуальным предпринимателем</w:t>
      </w:r>
    </w:p>
    <w:p w14:paraId="33CCDF66" w14:textId="5BA1863F" w:rsidR="00F0630D" w:rsidRPr="00F35B34" w:rsidRDefault="00F0630D" w:rsidP="002D79E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(не являющегося квалифицированным инвестором)</w:t>
      </w:r>
    </w:p>
    <w:p w14:paraId="617795F5" w14:textId="77777777" w:rsidR="009D029C" w:rsidRPr="00F35B34" w:rsidRDefault="009D029C" w:rsidP="002D79E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4A1102BF" w14:textId="6585F23B" w:rsidR="00B20A70" w:rsidRPr="00F35B34" w:rsidRDefault="009D029C" w:rsidP="009D029C">
      <w:pPr>
        <w:ind w:firstLine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информирует </w:t>
      </w:r>
      <w:r w:rsidR="00A413AD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 о том, что риск негативных последствий предоставления </w:t>
      </w:r>
      <w:r w:rsidR="00A413AD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лиентом недостоверной информации для определения его </w:t>
      </w:r>
      <w:r w:rsidR="00A413AD" w:rsidRPr="00F35B34">
        <w:rPr>
          <w:rFonts w:ascii="Times New Roman" w:hAnsi="Times New Roman" w:cs="Times New Roman"/>
        </w:rPr>
        <w:t>и</w:t>
      </w:r>
      <w:r w:rsidRPr="00F35B34">
        <w:rPr>
          <w:rFonts w:ascii="Times New Roman" w:hAnsi="Times New Roman" w:cs="Times New Roman"/>
        </w:rPr>
        <w:t xml:space="preserve">нвестиционного профиля, лежит на самом </w:t>
      </w:r>
      <w:r w:rsidR="00A413AD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>лиенте.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5B34" w:rsidRPr="00F35B34" w14:paraId="07567CDC" w14:textId="77777777" w:rsidTr="0013568B">
        <w:tc>
          <w:tcPr>
            <w:tcW w:w="3115" w:type="dxa"/>
          </w:tcPr>
          <w:p w14:paraId="5726A979" w14:textId="40597888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Дата составления</w:t>
            </w:r>
          </w:p>
        </w:tc>
        <w:tc>
          <w:tcPr>
            <w:tcW w:w="6230" w:type="dxa"/>
            <w:gridSpan w:val="2"/>
          </w:tcPr>
          <w:p w14:paraId="1C97D1C0" w14:textId="77777777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413F4293" w14:textId="77777777" w:rsidTr="0013568B">
        <w:tc>
          <w:tcPr>
            <w:tcW w:w="3115" w:type="dxa"/>
          </w:tcPr>
          <w:p w14:paraId="1C00B531" w14:textId="7880AF4A" w:rsidR="002D79E6" w:rsidRPr="00F35B34" w:rsidRDefault="002D79E6" w:rsidP="00A2099E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 xml:space="preserve">Ф. И. О. </w:t>
            </w:r>
            <w:r w:rsidR="00A2099E" w:rsidRPr="00F35B34">
              <w:rPr>
                <w:rFonts w:ascii="Times New Roman" w:hAnsi="Times New Roman" w:cs="Times New Roman"/>
                <w:b/>
              </w:rPr>
              <w:t>к</w:t>
            </w:r>
            <w:r w:rsidRPr="00F35B34">
              <w:rPr>
                <w:rFonts w:ascii="Times New Roman" w:hAnsi="Times New Roman" w:cs="Times New Roman"/>
                <w:b/>
              </w:rPr>
              <w:t>лиента</w:t>
            </w:r>
          </w:p>
        </w:tc>
        <w:tc>
          <w:tcPr>
            <w:tcW w:w="6230" w:type="dxa"/>
            <w:gridSpan w:val="2"/>
          </w:tcPr>
          <w:p w14:paraId="77C7A62F" w14:textId="77777777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7DF8D9DB" w14:textId="77777777" w:rsidTr="0013568B">
        <w:tc>
          <w:tcPr>
            <w:tcW w:w="3115" w:type="dxa"/>
          </w:tcPr>
          <w:p w14:paraId="32E9D1A7" w14:textId="03C748F6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Данные документа, удостоверяющего личность</w:t>
            </w:r>
          </w:p>
        </w:tc>
        <w:tc>
          <w:tcPr>
            <w:tcW w:w="6230" w:type="dxa"/>
            <w:gridSpan w:val="2"/>
          </w:tcPr>
          <w:p w14:paraId="1C5B848D" w14:textId="77777777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25373F3A" w14:textId="77777777" w:rsidTr="0013568B">
        <w:tc>
          <w:tcPr>
            <w:tcW w:w="3115" w:type="dxa"/>
          </w:tcPr>
          <w:p w14:paraId="4ECA8F15" w14:textId="1615F6C2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230" w:type="dxa"/>
            <w:gridSpan w:val="2"/>
          </w:tcPr>
          <w:p w14:paraId="6BA49D66" w14:textId="77777777" w:rsidR="002D79E6" w:rsidRPr="00F35B34" w:rsidRDefault="002D79E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4D8DA50F" w14:textId="77777777" w:rsidTr="0013568B">
        <w:tc>
          <w:tcPr>
            <w:tcW w:w="6230" w:type="dxa"/>
            <w:gridSpan w:val="2"/>
          </w:tcPr>
          <w:p w14:paraId="2562AC57" w14:textId="35C33D28" w:rsidR="002D79E6" w:rsidRPr="00F35B34" w:rsidRDefault="00285094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 xml:space="preserve">Отметьте </w:t>
            </w:r>
            <w:r w:rsidR="002D79E6" w:rsidRPr="00F35B34">
              <w:rPr>
                <w:rFonts w:ascii="Times New Roman" w:hAnsi="Times New Roman" w:cs="Times New Roman"/>
                <w:b/>
              </w:rPr>
              <w:t xml:space="preserve"> знаком «</w:t>
            </w:r>
            <w:r w:rsidR="002D79E6" w:rsidRPr="00F35B3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2D79E6" w:rsidRPr="00F35B3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5" w:type="dxa"/>
          </w:tcPr>
          <w:p w14:paraId="557A3D47" w14:textId="253B4CF1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Коэффициент</w:t>
            </w:r>
          </w:p>
        </w:tc>
      </w:tr>
      <w:tr w:rsidR="00F35B34" w:rsidRPr="00F35B34" w14:paraId="3912DC35" w14:textId="77777777" w:rsidTr="002D79E6">
        <w:tc>
          <w:tcPr>
            <w:tcW w:w="3115" w:type="dxa"/>
            <w:vMerge w:val="restart"/>
          </w:tcPr>
          <w:p w14:paraId="4E02093D" w14:textId="2A1E600A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115" w:type="dxa"/>
          </w:tcPr>
          <w:p w14:paraId="3F294C5E" w14:textId="3696B1E0" w:rsidR="002D79E6" w:rsidRPr="00F35B34" w:rsidRDefault="002D79E6" w:rsidP="002D79E6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="00C4494B" w:rsidRPr="00F35B34">
              <w:rPr>
                <w:rFonts w:ascii="Times New Roman" w:hAnsi="Times New Roman" w:cs="Times New Roman"/>
              </w:rPr>
              <w:t xml:space="preserve"> д</w:t>
            </w:r>
            <w:r w:rsidRPr="00F35B34">
              <w:rPr>
                <w:rFonts w:ascii="Times New Roman" w:hAnsi="Times New Roman" w:cs="Times New Roman"/>
              </w:rPr>
              <w:t>о 24</w:t>
            </w:r>
          </w:p>
        </w:tc>
        <w:tc>
          <w:tcPr>
            <w:tcW w:w="3115" w:type="dxa"/>
          </w:tcPr>
          <w:p w14:paraId="2E637882" w14:textId="677632B9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456C668D" w14:textId="77777777" w:rsidTr="002D79E6">
        <w:tc>
          <w:tcPr>
            <w:tcW w:w="3115" w:type="dxa"/>
            <w:vMerge/>
          </w:tcPr>
          <w:p w14:paraId="2396B3F3" w14:textId="77777777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7822AD2" w14:textId="29AFB966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от 25 до 60</w:t>
            </w:r>
          </w:p>
        </w:tc>
        <w:tc>
          <w:tcPr>
            <w:tcW w:w="3115" w:type="dxa"/>
          </w:tcPr>
          <w:p w14:paraId="07B1A750" w14:textId="3C84D76C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5B3B3B9A" w14:textId="77777777" w:rsidTr="002D79E6">
        <w:tc>
          <w:tcPr>
            <w:tcW w:w="3115" w:type="dxa"/>
            <w:vMerge/>
          </w:tcPr>
          <w:p w14:paraId="6AA71BCB" w14:textId="77777777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7E21C28" w14:textId="1A9F42EB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61 и старше</w:t>
            </w:r>
          </w:p>
        </w:tc>
        <w:tc>
          <w:tcPr>
            <w:tcW w:w="3115" w:type="dxa"/>
          </w:tcPr>
          <w:p w14:paraId="285EE31B" w14:textId="4F491982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42D6FA3E" w14:textId="77777777" w:rsidTr="002D79E6">
        <w:tc>
          <w:tcPr>
            <w:tcW w:w="3115" w:type="dxa"/>
            <w:vMerge w:val="restart"/>
          </w:tcPr>
          <w:p w14:paraId="4C675F97" w14:textId="771574DC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Соотношение примерных среднемесячных доходов и расходов за последние 12 месяцев</w:t>
            </w:r>
          </w:p>
        </w:tc>
        <w:tc>
          <w:tcPr>
            <w:tcW w:w="3115" w:type="dxa"/>
          </w:tcPr>
          <w:p w14:paraId="34CB0005" w14:textId="7E533385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среднемесячные доходы меньше среднемесячных расходов</w:t>
            </w:r>
          </w:p>
        </w:tc>
        <w:tc>
          <w:tcPr>
            <w:tcW w:w="3115" w:type="dxa"/>
          </w:tcPr>
          <w:p w14:paraId="6ACC8353" w14:textId="67D9BD01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1F3B8420" w14:textId="77777777" w:rsidTr="002D79E6">
        <w:tc>
          <w:tcPr>
            <w:tcW w:w="3115" w:type="dxa"/>
            <w:vMerge/>
          </w:tcPr>
          <w:p w14:paraId="671456CC" w14:textId="77777777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252D004" w14:textId="5D2DE8DB" w:rsidR="002D79E6" w:rsidRPr="00F35B34" w:rsidRDefault="002D79E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среднемесячные доходы превышают среднемесячные расходы</w:t>
            </w:r>
          </w:p>
        </w:tc>
        <w:tc>
          <w:tcPr>
            <w:tcW w:w="3115" w:type="dxa"/>
          </w:tcPr>
          <w:p w14:paraId="0E02DF41" w14:textId="454B1497" w:rsidR="002D79E6" w:rsidRPr="00F35B34" w:rsidRDefault="002D79E6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367B732E" w14:textId="77777777" w:rsidTr="002D79E6">
        <w:tc>
          <w:tcPr>
            <w:tcW w:w="3115" w:type="dxa"/>
            <w:vMerge w:val="restart"/>
          </w:tcPr>
          <w:p w14:paraId="6ABE0522" w14:textId="5E69660B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Соотношение средств, передаваемых в доверительное управление, и сбережений</w:t>
            </w:r>
          </w:p>
        </w:tc>
        <w:tc>
          <w:tcPr>
            <w:tcW w:w="3115" w:type="dxa"/>
          </w:tcPr>
          <w:p w14:paraId="16D7CA29" w14:textId="6C8869A4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 Д. У. передаются большая часть сбережений (51-100%)</w:t>
            </w:r>
          </w:p>
        </w:tc>
        <w:tc>
          <w:tcPr>
            <w:tcW w:w="3115" w:type="dxa"/>
          </w:tcPr>
          <w:p w14:paraId="6F735471" w14:textId="75335A10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73A4E665" w14:textId="77777777" w:rsidTr="002D79E6">
        <w:tc>
          <w:tcPr>
            <w:tcW w:w="3115" w:type="dxa"/>
            <w:vMerge/>
          </w:tcPr>
          <w:p w14:paraId="5159508A" w14:textId="77777777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A739D70" w14:textId="40C55AA0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 Д. У. передается более половины сбережений (11-50%)</w:t>
            </w:r>
          </w:p>
        </w:tc>
        <w:tc>
          <w:tcPr>
            <w:tcW w:w="3115" w:type="dxa"/>
          </w:tcPr>
          <w:p w14:paraId="706BD3AF" w14:textId="4E130E0C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2D920D11" w14:textId="77777777" w:rsidTr="002D79E6">
        <w:tc>
          <w:tcPr>
            <w:tcW w:w="3115" w:type="dxa"/>
            <w:vMerge/>
          </w:tcPr>
          <w:p w14:paraId="42D5B26D" w14:textId="77777777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B2ADF6F" w14:textId="3896331B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 Д. У. передается меньшая часть сбережений (0-10%)</w:t>
            </w:r>
          </w:p>
        </w:tc>
        <w:tc>
          <w:tcPr>
            <w:tcW w:w="3115" w:type="dxa"/>
          </w:tcPr>
          <w:p w14:paraId="56CA6503" w14:textId="4C0ED47A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41862820" w14:textId="77777777" w:rsidTr="002D79E6">
        <w:tc>
          <w:tcPr>
            <w:tcW w:w="3115" w:type="dxa"/>
            <w:vMerge w:val="restart"/>
          </w:tcPr>
          <w:p w14:paraId="600024D5" w14:textId="003BEB6C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</w:t>
            </w:r>
            <w:r w:rsidR="00732B7D" w:rsidRPr="00F35B34">
              <w:rPr>
                <w:rFonts w:ascii="Times New Roman" w:hAnsi="Times New Roman" w:cs="Times New Roman"/>
              </w:rPr>
              <w:t>пыт</w:t>
            </w:r>
            <w:r w:rsidRPr="00F35B34">
              <w:rPr>
                <w:rFonts w:ascii="Times New Roman" w:hAnsi="Times New Roman" w:cs="Times New Roman"/>
              </w:rPr>
              <w:t xml:space="preserve"> в области инвестирования </w:t>
            </w:r>
          </w:p>
        </w:tc>
        <w:tc>
          <w:tcPr>
            <w:tcW w:w="3115" w:type="dxa"/>
          </w:tcPr>
          <w:p w14:paraId="0091EA1E" w14:textId="2E2BA714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не инвестировал ранее или пользовался только банковскими вкладами</w:t>
            </w:r>
          </w:p>
        </w:tc>
        <w:tc>
          <w:tcPr>
            <w:tcW w:w="3115" w:type="dxa"/>
          </w:tcPr>
          <w:p w14:paraId="78CF3DE3" w14:textId="4E32B810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200CE8C3" w14:textId="77777777" w:rsidTr="002D79E6">
        <w:tc>
          <w:tcPr>
            <w:tcW w:w="3115" w:type="dxa"/>
            <w:vMerge/>
          </w:tcPr>
          <w:p w14:paraId="174E3D44" w14:textId="77777777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F91163F" w14:textId="4F900BF6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есть опыт инвестирования в пенсионные фонды или продукты страхования жизни</w:t>
            </w:r>
          </w:p>
        </w:tc>
        <w:tc>
          <w:tcPr>
            <w:tcW w:w="3115" w:type="dxa"/>
          </w:tcPr>
          <w:p w14:paraId="6C0F3FBB" w14:textId="0ACC27EA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244B8DC7" w14:textId="77777777" w:rsidTr="002D79E6">
        <w:tc>
          <w:tcPr>
            <w:tcW w:w="3115" w:type="dxa"/>
            <w:vMerge/>
          </w:tcPr>
          <w:p w14:paraId="712CE0B1" w14:textId="77777777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1B4E082" w14:textId="60398452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есть опыт инвестирования на фондовом рынке через паевые инвестиционные фонда или доверительное управление</w:t>
            </w:r>
          </w:p>
        </w:tc>
        <w:tc>
          <w:tcPr>
            <w:tcW w:w="3115" w:type="dxa"/>
          </w:tcPr>
          <w:p w14:paraId="7315BEF4" w14:textId="5523F746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48D74D4D" w14:textId="77777777" w:rsidTr="002D79E6">
        <w:tc>
          <w:tcPr>
            <w:tcW w:w="3115" w:type="dxa"/>
            <w:vMerge/>
          </w:tcPr>
          <w:p w14:paraId="37922E0F" w14:textId="77777777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DFDB5CF" w14:textId="7EA1419C" w:rsidR="00C4494B" w:rsidRPr="00F35B34" w:rsidRDefault="00C4494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есть опыт осуществления самостоятельных операций на организованных фондовом, срочном или валютном рынках</w:t>
            </w:r>
          </w:p>
        </w:tc>
        <w:tc>
          <w:tcPr>
            <w:tcW w:w="3115" w:type="dxa"/>
          </w:tcPr>
          <w:p w14:paraId="0934C787" w14:textId="5FD22C44" w:rsidR="00C4494B" w:rsidRPr="00F35B34" w:rsidRDefault="00C4494B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040F101B" w14:textId="77777777" w:rsidTr="002D79E6">
        <w:tc>
          <w:tcPr>
            <w:tcW w:w="3115" w:type="dxa"/>
            <w:vMerge w:val="restart"/>
          </w:tcPr>
          <w:p w14:paraId="2C1CEA78" w14:textId="43C6DFF3" w:rsidR="00732B7D" w:rsidRPr="00F35B34" w:rsidRDefault="00732B7D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Знания в области инвестирования</w:t>
            </w:r>
          </w:p>
        </w:tc>
        <w:tc>
          <w:tcPr>
            <w:tcW w:w="3115" w:type="dxa"/>
          </w:tcPr>
          <w:p w14:paraId="6C5BB689" w14:textId="4BB8B35C" w:rsidR="00732B7D" w:rsidRPr="00F35B34" w:rsidRDefault="00315AD3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</w:t>
            </w:r>
            <w:r w:rsidR="00F655EF" w:rsidRPr="00F35B34">
              <w:rPr>
                <w:rFonts w:ascii="Times New Roman" w:hAnsi="Times New Roman" w:cs="Times New Roman"/>
              </w:rPr>
              <w:t>н</w:t>
            </w:r>
            <w:r w:rsidRPr="00F35B34">
              <w:rPr>
                <w:rFonts w:ascii="Times New Roman" w:hAnsi="Times New Roman" w:cs="Times New Roman"/>
              </w:rPr>
              <w:t>е</w:t>
            </w:r>
            <w:r w:rsidR="00F655EF" w:rsidRPr="00F35B34">
              <w:rPr>
                <w:rFonts w:ascii="Times New Roman" w:hAnsi="Times New Roman" w:cs="Times New Roman"/>
              </w:rPr>
              <w:t xml:space="preserve"> имею</w:t>
            </w:r>
            <w:r w:rsidRPr="00F35B34">
              <w:rPr>
                <w:rFonts w:ascii="Times New Roman" w:hAnsi="Times New Roman" w:cs="Times New Roman"/>
              </w:rPr>
              <w:t xml:space="preserve"> знаний в инвестициях</w:t>
            </w:r>
          </w:p>
        </w:tc>
        <w:tc>
          <w:tcPr>
            <w:tcW w:w="3115" w:type="dxa"/>
          </w:tcPr>
          <w:p w14:paraId="1576A7C6" w14:textId="45ED4321" w:rsidR="00732B7D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368B95A6" w14:textId="77777777" w:rsidTr="002D79E6">
        <w:tc>
          <w:tcPr>
            <w:tcW w:w="3115" w:type="dxa"/>
            <w:vMerge/>
          </w:tcPr>
          <w:p w14:paraId="50E97FA0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8D1F039" w14:textId="14D72BE7" w:rsidR="00315AD3" w:rsidRPr="00F35B34" w:rsidRDefault="00315AD3" w:rsidP="00AD146F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</w:t>
            </w:r>
            <w:r w:rsidR="00F655EF" w:rsidRPr="00F35B34">
              <w:rPr>
                <w:rFonts w:ascii="Times New Roman" w:hAnsi="Times New Roman" w:cs="Times New Roman"/>
              </w:rPr>
              <w:t>и</w:t>
            </w:r>
            <w:r w:rsidRPr="00F35B34">
              <w:rPr>
                <w:rFonts w:ascii="Times New Roman" w:hAnsi="Times New Roman" w:cs="Times New Roman"/>
              </w:rPr>
              <w:t>мею базовые представления</w:t>
            </w:r>
            <w:r w:rsidR="00AD146F" w:rsidRPr="00F35B34">
              <w:rPr>
                <w:rFonts w:ascii="Times New Roman" w:hAnsi="Times New Roman" w:cs="Times New Roman"/>
              </w:rPr>
              <w:t xml:space="preserve"> об инвестициях, понимаю </w:t>
            </w:r>
            <w:r w:rsidR="00AD146F" w:rsidRPr="00F35B34">
              <w:rPr>
                <w:rFonts w:ascii="Times New Roman" w:hAnsi="Times New Roman" w:cs="Times New Roman"/>
              </w:rPr>
              <w:lastRenderedPageBreak/>
              <w:t>различия акций и облигаций, их риски и отличие от депозитов</w:t>
            </w:r>
          </w:p>
        </w:tc>
        <w:tc>
          <w:tcPr>
            <w:tcW w:w="3115" w:type="dxa"/>
          </w:tcPr>
          <w:p w14:paraId="18F97F0B" w14:textId="3A3527EC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35B34" w:rsidRPr="00F35B34" w14:paraId="1E044878" w14:textId="77777777" w:rsidTr="002D79E6">
        <w:tc>
          <w:tcPr>
            <w:tcW w:w="3115" w:type="dxa"/>
            <w:vMerge/>
          </w:tcPr>
          <w:p w14:paraId="23F8D42D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BF09825" w14:textId="4F6E7E20" w:rsidR="00315AD3" w:rsidRPr="00F35B34" w:rsidRDefault="00315AD3" w:rsidP="00AD146F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</w:t>
            </w:r>
            <w:r w:rsidR="00AD146F" w:rsidRPr="00F35B34">
              <w:rPr>
                <w:rFonts w:ascii="Times New Roman" w:hAnsi="Times New Roman" w:cs="Times New Roman"/>
              </w:rPr>
              <w:t>имею углубленные знания по инвестициям, понимаю многие факторы влияющие на стоимость и доходность различных видов активов</w:t>
            </w:r>
          </w:p>
        </w:tc>
        <w:tc>
          <w:tcPr>
            <w:tcW w:w="3115" w:type="dxa"/>
          </w:tcPr>
          <w:p w14:paraId="78097617" w14:textId="244967E5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571510DE" w14:textId="77777777" w:rsidTr="002D79E6">
        <w:tc>
          <w:tcPr>
            <w:tcW w:w="3115" w:type="dxa"/>
            <w:vMerge/>
          </w:tcPr>
          <w:p w14:paraId="255CDDAA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6B093D4" w14:textId="72835475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</w:t>
            </w:r>
            <w:r w:rsidR="00E0461E" w:rsidRPr="00F35B34">
              <w:rPr>
                <w:rFonts w:ascii="Times New Roman" w:hAnsi="Times New Roman" w:cs="Times New Roman"/>
              </w:rPr>
              <w:t>имеются продвинутые знания в области инвестирования/имеется аттестат (сертификат) специалиста финансового рынка</w:t>
            </w:r>
          </w:p>
        </w:tc>
        <w:tc>
          <w:tcPr>
            <w:tcW w:w="3115" w:type="dxa"/>
          </w:tcPr>
          <w:p w14:paraId="6F241A62" w14:textId="2F2389E5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3665CE11" w14:textId="77777777" w:rsidTr="002D79E6">
        <w:tc>
          <w:tcPr>
            <w:tcW w:w="3115" w:type="dxa"/>
            <w:vMerge w:val="restart"/>
          </w:tcPr>
          <w:p w14:paraId="4E644042" w14:textId="18177FE1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Срок инвестирования</w:t>
            </w:r>
          </w:p>
        </w:tc>
        <w:tc>
          <w:tcPr>
            <w:tcW w:w="3115" w:type="dxa"/>
          </w:tcPr>
          <w:p w14:paraId="77020814" w14:textId="3A6E2EDD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до 1 года</w:t>
            </w:r>
          </w:p>
        </w:tc>
        <w:tc>
          <w:tcPr>
            <w:tcW w:w="3115" w:type="dxa"/>
          </w:tcPr>
          <w:p w14:paraId="23FCDAE2" w14:textId="54B549BC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7377AF90" w14:textId="77777777" w:rsidTr="002D79E6">
        <w:tc>
          <w:tcPr>
            <w:tcW w:w="3115" w:type="dxa"/>
            <w:vMerge/>
          </w:tcPr>
          <w:p w14:paraId="1CA1DEFC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8F433A8" w14:textId="2197B988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свыше 1 года</w:t>
            </w:r>
          </w:p>
        </w:tc>
        <w:tc>
          <w:tcPr>
            <w:tcW w:w="3115" w:type="dxa"/>
          </w:tcPr>
          <w:p w14:paraId="1B6E59CC" w14:textId="49DA8C09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7B408F1C" w14:textId="77777777" w:rsidTr="002D79E6">
        <w:tc>
          <w:tcPr>
            <w:tcW w:w="3115" w:type="dxa"/>
            <w:vMerge w:val="restart"/>
          </w:tcPr>
          <w:p w14:paraId="6FD65031" w14:textId="064A0E90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Ожидаемая доходность</w:t>
            </w:r>
          </w:p>
        </w:tc>
        <w:tc>
          <w:tcPr>
            <w:tcW w:w="3115" w:type="dxa"/>
          </w:tcPr>
          <w:p w14:paraId="0BCF51AE" w14:textId="4DB72FE4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на уровне инфляции</w:t>
            </w:r>
          </w:p>
        </w:tc>
        <w:tc>
          <w:tcPr>
            <w:tcW w:w="3115" w:type="dxa"/>
          </w:tcPr>
          <w:p w14:paraId="2B7D26A7" w14:textId="7B9628BB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485821F7" w14:textId="77777777" w:rsidTr="002D79E6">
        <w:tc>
          <w:tcPr>
            <w:tcW w:w="3115" w:type="dxa"/>
            <w:vMerge/>
          </w:tcPr>
          <w:p w14:paraId="2B48B1DA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EDBC500" w14:textId="7190EBF9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на уровне ставок по банковским вкладам</w:t>
            </w:r>
          </w:p>
        </w:tc>
        <w:tc>
          <w:tcPr>
            <w:tcW w:w="3115" w:type="dxa"/>
          </w:tcPr>
          <w:p w14:paraId="70214B71" w14:textId="4AA58F42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79A0620C" w14:textId="77777777" w:rsidTr="002D79E6">
        <w:tc>
          <w:tcPr>
            <w:tcW w:w="3115" w:type="dxa"/>
            <w:vMerge/>
          </w:tcPr>
          <w:p w14:paraId="2DDE2880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EC4815B" w14:textId="76910F2E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незначительно выше ставок по банковским вкладам</w:t>
            </w:r>
          </w:p>
        </w:tc>
        <w:tc>
          <w:tcPr>
            <w:tcW w:w="3115" w:type="dxa"/>
          </w:tcPr>
          <w:p w14:paraId="13A34525" w14:textId="4C75C499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342BF45C" w14:textId="77777777" w:rsidTr="002D79E6">
        <w:tc>
          <w:tcPr>
            <w:tcW w:w="3115" w:type="dxa"/>
            <w:vMerge/>
          </w:tcPr>
          <w:p w14:paraId="03DEDE68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806E119" w14:textId="0B19E5EB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существенно превышает ставки по банковским вкладам</w:t>
            </w:r>
          </w:p>
        </w:tc>
        <w:tc>
          <w:tcPr>
            <w:tcW w:w="3115" w:type="dxa"/>
          </w:tcPr>
          <w:p w14:paraId="5AF64117" w14:textId="5D03F174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72ED7DE2" w14:textId="77777777" w:rsidTr="002D79E6">
        <w:tc>
          <w:tcPr>
            <w:tcW w:w="3115" w:type="dxa"/>
            <w:vMerge w:val="restart"/>
          </w:tcPr>
          <w:p w14:paraId="24A45AB7" w14:textId="7212FBD5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Ваше отношение к возможным убыткам</w:t>
            </w:r>
          </w:p>
        </w:tc>
        <w:tc>
          <w:tcPr>
            <w:tcW w:w="3115" w:type="dxa"/>
          </w:tcPr>
          <w:p w14:paraId="5038DF38" w14:textId="7227FDE8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возможные убытки воспринимаю болезненно. Основная цель – сохранить капитал. </w:t>
            </w:r>
          </w:p>
        </w:tc>
        <w:tc>
          <w:tcPr>
            <w:tcW w:w="3115" w:type="dxa"/>
          </w:tcPr>
          <w:p w14:paraId="30D83EC9" w14:textId="66B2FC0C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3BDF97FB" w14:textId="77777777" w:rsidTr="002D79E6">
        <w:tc>
          <w:tcPr>
            <w:tcW w:w="3115" w:type="dxa"/>
            <w:vMerge/>
          </w:tcPr>
          <w:p w14:paraId="0053450E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58CE296" w14:textId="1C167695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возможны незначительные убытки. Готов ждать, когда вложения снова будут показывать доход</w:t>
            </w:r>
          </w:p>
        </w:tc>
        <w:tc>
          <w:tcPr>
            <w:tcW w:w="3115" w:type="dxa"/>
          </w:tcPr>
          <w:p w14:paraId="58DD4652" w14:textId="7B7C411B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174D4331" w14:textId="77777777" w:rsidTr="002D79E6">
        <w:tc>
          <w:tcPr>
            <w:tcW w:w="3115" w:type="dxa"/>
            <w:vMerge/>
          </w:tcPr>
          <w:p w14:paraId="61D6C60B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7787EC6" w14:textId="6B48A1ED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спокойно отношусь к убыткам. Основная цель – получить существенный доход.</w:t>
            </w:r>
          </w:p>
        </w:tc>
        <w:tc>
          <w:tcPr>
            <w:tcW w:w="3115" w:type="dxa"/>
          </w:tcPr>
          <w:p w14:paraId="34A41F30" w14:textId="68DAA676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02B134BB" w14:textId="77777777" w:rsidTr="002D79E6">
        <w:tc>
          <w:tcPr>
            <w:tcW w:w="3115" w:type="dxa"/>
            <w:vMerge/>
          </w:tcPr>
          <w:p w14:paraId="23F9A3D8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B0F4BCB" w14:textId="217992BB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готов к убыткам. Главное – получить максимальный доход.</w:t>
            </w:r>
          </w:p>
        </w:tc>
        <w:tc>
          <w:tcPr>
            <w:tcW w:w="3115" w:type="dxa"/>
          </w:tcPr>
          <w:p w14:paraId="54DB78AC" w14:textId="2730EE3C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29F2A1C1" w14:textId="77777777" w:rsidTr="002D79E6">
        <w:tc>
          <w:tcPr>
            <w:tcW w:w="3115" w:type="dxa"/>
            <w:vMerge w:val="restart"/>
          </w:tcPr>
          <w:p w14:paraId="75D7C82E" w14:textId="2CA613CB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Ваши инвестиционные цели</w:t>
            </w:r>
          </w:p>
        </w:tc>
        <w:tc>
          <w:tcPr>
            <w:tcW w:w="3115" w:type="dxa"/>
          </w:tcPr>
          <w:p w14:paraId="722774C9" w14:textId="020FF1AE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покрытие текущих расходов и краткосрочное накопление</w:t>
            </w:r>
          </w:p>
        </w:tc>
        <w:tc>
          <w:tcPr>
            <w:tcW w:w="3115" w:type="dxa"/>
          </w:tcPr>
          <w:p w14:paraId="6EB82865" w14:textId="34BCF1F2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36865CF2" w14:textId="77777777" w:rsidTr="002D79E6">
        <w:tc>
          <w:tcPr>
            <w:tcW w:w="3115" w:type="dxa"/>
            <w:vMerge/>
          </w:tcPr>
          <w:p w14:paraId="59822A6D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1A286A4" w14:textId="2DBD3CBD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совершение крупных покупок на среднесрочной перспективе</w:t>
            </w:r>
          </w:p>
        </w:tc>
        <w:tc>
          <w:tcPr>
            <w:tcW w:w="3115" w:type="dxa"/>
          </w:tcPr>
          <w:p w14:paraId="031422C4" w14:textId="4F9A995E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793DFFE1" w14:textId="77777777" w:rsidTr="002D79E6">
        <w:tc>
          <w:tcPr>
            <w:tcW w:w="3115" w:type="dxa"/>
            <w:vMerge/>
          </w:tcPr>
          <w:p w14:paraId="463DFDBD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33C0564" w14:textId="20C0A8C4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формирование капитала в долгосрочной перспективе (пенсия, наследство)</w:t>
            </w:r>
          </w:p>
        </w:tc>
        <w:tc>
          <w:tcPr>
            <w:tcW w:w="3115" w:type="dxa"/>
          </w:tcPr>
          <w:p w14:paraId="40A79CFA" w14:textId="78FA9DC9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6F018838" w14:textId="77777777" w:rsidTr="002D79E6">
        <w:tc>
          <w:tcPr>
            <w:tcW w:w="3115" w:type="dxa"/>
            <w:vMerge/>
          </w:tcPr>
          <w:p w14:paraId="7FF5FDA6" w14:textId="77777777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B10B5F4" w14:textId="25EA9E05" w:rsidR="00315AD3" w:rsidRPr="00F35B34" w:rsidRDefault="00315AD3" w:rsidP="00315AD3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максимизация богатства (возможность жить на доходы с инвестиций)</w:t>
            </w:r>
          </w:p>
        </w:tc>
        <w:tc>
          <w:tcPr>
            <w:tcW w:w="3115" w:type="dxa"/>
          </w:tcPr>
          <w:p w14:paraId="6B2113CD" w14:textId="418424C6" w:rsidR="00315AD3" w:rsidRPr="00F35B34" w:rsidRDefault="00315AD3" w:rsidP="009C4052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410332A7" w14:textId="77777777" w:rsidTr="00FA1CF1">
        <w:trPr>
          <w:trHeight w:val="559"/>
        </w:trPr>
        <w:tc>
          <w:tcPr>
            <w:tcW w:w="6230" w:type="dxa"/>
            <w:gridSpan w:val="2"/>
          </w:tcPr>
          <w:p w14:paraId="7633FBC6" w14:textId="31A57488" w:rsidR="00315AD3" w:rsidRPr="00F35B34" w:rsidRDefault="00315AD3" w:rsidP="00315AD3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Итоговый коэффициент</w:t>
            </w:r>
          </w:p>
        </w:tc>
        <w:tc>
          <w:tcPr>
            <w:tcW w:w="3115" w:type="dxa"/>
          </w:tcPr>
          <w:p w14:paraId="434ECC5F" w14:textId="77777777" w:rsidR="00315AD3" w:rsidRPr="00F35B34" w:rsidRDefault="00315AD3" w:rsidP="00315A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0B92" w:rsidRPr="00F35B34" w14:paraId="0BEDBF1D" w14:textId="77777777" w:rsidTr="00FA1CF1">
        <w:trPr>
          <w:trHeight w:val="695"/>
        </w:trPr>
        <w:tc>
          <w:tcPr>
            <w:tcW w:w="3115" w:type="dxa"/>
          </w:tcPr>
          <w:p w14:paraId="0FFE9556" w14:textId="54520880" w:rsidR="00315AD3" w:rsidRPr="00F35B34" w:rsidRDefault="00315AD3" w:rsidP="00315AD3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Подпись клиента</w:t>
            </w:r>
          </w:p>
        </w:tc>
        <w:tc>
          <w:tcPr>
            <w:tcW w:w="6230" w:type="dxa"/>
            <w:gridSpan w:val="2"/>
          </w:tcPr>
          <w:p w14:paraId="6D87C06B" w14:textId="77777777" w:rsidR="00315AD3" w:rsidRPr="00F35B34" w:rsidRDefault="00315AD3" w:rsidP="00315A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4E7EFE" w14:textId="77777777" w:rsidR="008C3DF3" w:rsidRPr="00F35B34" w:rsidRDefault="008C3DF3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FF5FA13" w14:textId="77777777" w:rsidR="008C3DF3" w:rsidRPr="00F35B34" w:rsidRDefault="008C3DF3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DAEE73" w14:textId="77777777" w:rsidR="008C3DF3" w:rsidRPr="00F35B34" w:rsidRDefault="008C3DF3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855E739" w14:textId="4A142BA3" w:rsidR="00C85884" w:rsidRPr="00F35B34" w:rsidRDefault="00C85884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Приложение №2 к Порядку определения инвестиционного профиля </w:t>
      </w:r>
    </w:p>
    <w:p w14:paraId="729447C0" w14:textId="77777777" w:rsidR="00C85884" w:rsidRPr="00F35B34" w:rsidRDefault="00C85884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3D918CFB" w14:textId="77777777" w:rsidR="00C85884" w:rsidRPr="00F35B34" w:rsidRDefault="00C85884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13DA5952" w14:textId="284B1631" w:rsidR="00C85884" w:rsidRPr="00F35B34" w:rsidRDefault="007A5564" w:rsidP="00C8588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AA153FD" w14:textId="77777777" w:rsidR="00C85884" w:rsidRPr="00F35B34" w:rsidRDefault="00C85884" w:rsidP="00C8588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АНКЕТА</w:t>
      </w:r>
    </w:p>
    <w:p w14:paraId="5A1FE966" w14:textId="547E5B67" w:rsidR="00C85884" w:rsidRPr="00F35B34" w:rsidRDefault="00C85884" w:rsidP="00C8588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 xml:space="preserve">для определения инвестиционного профиля клиента </w:t>
      </w:r>
      <w:r w:rsidR="00AA37A6" w:rsidRPr="00F35B34">
        <w:rPr>
          <w:rFonts w:ascii="Times New Roman" w:hAnsi="Times New Roman" w:cs="Times New Roman"/>
          <w:b/>
          <w:i/>
        </w:rPr>
        <w:t>юридического лица</w:t>
      </w:r>
    </w:p>
    <w:p w14:paraId="0E85515E" w14:textId="784D81E9" w:rsidR="00AA37A6" w:rsidRPr="00F35B34" w:rsidRDefault="00AA37A6" w:rsidP="00C8588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(не являющегося квалифицированным инвестором)</w:t>
      </w:r>
    </w:p>
    <w:p w14:paraId="6778F49C" w14:textId="56F42948" w:rsidR="00C85884" w:rsidRPr="00F35B34" w:rsidRDefault="00C85884" w:rsidP="006320F5">
      <w:pPr>
        <w:rPr>
          <w:rFonts w:ascii="Times New Roman" w:hAnsi="Times New Roman" w:cs="Times New Roman"/>
        </w:rPr>
      </w:pPr>
    </w:p>
    <w:p w14:paraId="27C4F115" w14:textId="3C5EDDB4" w:rsidR="009D029C" w:rsidRPr="00F35B34" w:rsidRDefault="009D029C" w:rsidP="009D029C">
      <w:pPr>
        <w:ind w:firstLine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Банк информирует </w:t>
      </w:r>
      <w:r w:rsidR="00840BDB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лиента о том, что риск негативных последствий предоставления </w:t>
      </w:r>
      <w:r w:rsidR="00840BDB" w:rsidRPr="00F35B34">
        <w:rPr>
          <w:rFonts w:ascii="Times New Roman" w:hAnsi="Times New Roman" w:cs="Times New Roman"/>
        </w:rPr>
        <w:t>к</w:t>
      </w:r>
      <w:r w:rsidRPr="00F35B34">
        <w:rPr>
          <w:rFonts w:ascii="Times New Roman" w:hAnsi="Times New Roman" w:cs="Times New Roman"/>
        </w:rPr>
        <w:t xml:space="preserve">лиентом недостоверной информации для определения его </w:t>
      </w:r>
      <w:r w:rsidR="00840BDB" w:rsidRPr="00F35B34">
        <w:rPr>
          <w:rFonts w:ascii="Times New Roman" w:hAnsi="Times New Roman" w:cs="Times New Roman"/>
        </w:rPr>
        <w:t>и</w:t>
      </w:r>
      <w:r w:rsidRPr="00F35B34">
        <w:rPr>
          <w:rFonts w:ascii="Times New Roman" w:hAnsi="Times New Roman" w:cs="Times New Roman"/>
        </w:rPr>
        <w:t>нвестиционного профиля,</w:t>
      </w:r>
      <w:r w:rsidR="00840BDB" w:rsidRPr="00F35B34">
        <w:rPr>
          <w:rFonts w:ascii="Times New Roman" w:hAnsi="Times New Roman" w:cs="Times New Roman"/>
        </w:rPr>
        <w:t xml:space="preserve"> </w:t>
      </w:r>
      <w:proofErr w:type="gramStart"/>
      <w:r w:rsidR="00840BDB" w:rsidRPr="00F35B34">
        <w:rPr>
          <w:rFonts w:ascii="Times New Roman" w:hAnsi="Times New Roman" w:cs="Times New Roman"/>
        </w:rPr>
        <w:t>возлагается</w:t>
      </w:r>
      <w:r w:rsidRPr="00F35B34">
        <w:rPr>
          <w:rFonts w:ascii="Times New Roman" w:hAnsi="Times New Roman" w:cs="Times New Roman"/>
        </w:rPr>
        <w:t xml:space="preserve"> </w:t>
      </w:r>
      <w:r w:rsidR="00840BDB" w:rsidRPr="00F35B34">
        <w:rPr>
          <w:rFonts w:ascii="Times New Roman" w:hAnsi="Times New Roman" w:cs="Times New Roman"/>
        </w:rPr>
        <w:t xml:space="preserve"> </w:t>
      </w:r>
      <w:r w:rsidRPr="00F35B34">
        <w:rPr>
          <w:rFonts w:ascii="Times New Roman" w:hAnsi="Times New Roman" w:cs="Times New Roman"/>
        </w:rPr>
        <w:t>на</w:t>
      </w:r>
      <w:proofErr w:type="gramEnd"/>
      <w:r w:rsidRPr="00F35B34">
        <w:rPr>
          <w:rFonts w:ascii="Times New Roman" w:hAnsi="Times New Roman" w:cs="Times New Roman"/>
        </w:rPr>
        <w:t xml:space="preserve"> само</w:t>
      </w:r>
      <w:r w:rsidR="00840BDB" w:rsidRPr="00F35B34">
        <w:rPr>
          <w:rFonts w:ascii="Times New Roman" w:hAnsi="Times New Roman" w:cs="Times New Roman"/>
        </w:rPr>
        <w:t>го к</w:t>
      </w:r>
      <w:r w:rsidRPr="00F35B34">
        <w:rPr>
          <w:rFonts w:ascii="Times New Roman" w:hAnsi="Times New Roman" w:cs="Times New Roman"/>
        </w:rPr>
        <w:t>лиент</w:t>
      </w:r>
      <w:r w:rsidR="00840BDB" w:rsidRPr="00F35B34">
        <w:rPr>
          <w:rFonts w:ascii="Times New Roman" w:hAnsi="Times New Roman" w:cs="Times New Roman"/>
        </w:rPr>
        <w:t>а</w:t>
      </w:r>
      <w:r w:rsidRPr="00F35B34">
        <w:rPr>
          <w:rFonts w:ascii="Times New Roman" w:hAnsi="Times New Roman" w:cs="Times New Roman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4"/>
      </w:tblGrid>
      <w:tr w:rsidR="00F35B34" w:rsidRPr="00F35B34" w14:paraId="3D7F6859" w14:textId="77777777" w:rsidTr="0013568B">
        <w:tc>
          <w:tcPr>
            <w:tcW w:w="3115" w:type="dxa"/>
          </w:tcPr>
          <w:p w14:paraId="708CC2BC" w14:textId="5B1133E9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Дата составления</w:t>
            </w:r>
          </w:p>
        </w:tc>
        <w:tc>
          <w:tcPr>
            <w:tcW w:w="6230" w:type="dxa"/>
            <w:gridSpan w:val="2"/>
          </w:tcPr>
          <w:p w14:paraId="19F740D8" w14:textId="77777777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345A1E99" w14:textId="77777777" w:rsidTr="0013568B">
        <w:tc>
          <w:tcPr>
            <w:tcW w:w="3115" w:type="dxa"/>
          </w:tcPr>
          <w:p w14:paraId="5BD2FBEB" w14:textId="77BD5463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6230" w:type="dxa"/>
            <w:gridSpan w:val="2"/>
          </w:tcPr>
          <w:p w14:paraId="3E4691F4" w14:textId="77777777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47E3F18E" w14:textId="77777777" w:rsidTr="0013568B">
        <w:tc>
          <w:tcPr>
            <w:tcW w:w="3115" w:type="dxa"/>
          </w:tcPr>
          <w:p w14:paraId="0054AF13" w14:textId="7AEB9C45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ОГРН юридического лица</w:t>
            </w:r>
          </w:p>
        </w:tc>
        <w:tc>
          <w:tcPr>
            <w:tcW w:w="6230" w:type="dxa"/>
            <w:gridSpan w:val="2"/>
          </w:tcPr>
          <w:p w14:paraId="15FA8C45" w14:textId="77777777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70611E6B" w14:textId="77777777" w:rsidTr="0013568B">
        <w:tc>
          <w:tcPr>
            <w:tcW w:w="3115" w:type="dxa"/>
          </w:tcPr>
          <w:p w14:paraId="0EB6C129" w14:textId="75AC0C7C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ИНН юридического лица</w:t>
            </w:r>
          </w:p>
        </w:tc>
        <w:tc>
          <w:tcPr>
            <w:tcW w:w="6230" w:type="dxa"/>
            <w:gridSpan w:val="2"/>
          </w:tcPr>
          <w:p w14:paraId="3720621F" w14:textId="77777777" w:rsidR="00AA37A6" w:rsidRPr="00F35B34" w:rsidRDefault="00AA37A6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55D56803" w14:textId="77777777" w:rsidTr="0013568B">
        <w:tc>
          <w:tcPr>
            <w:tcW w:w="3115" w:type="dxa"/>
          </w:tcPr>
          <w:p w14:paraId="58D8E2EF" w14:textId="45534E51" w:rsidR="00285094" w:rsidRPr="00F35B34" w:rsidRDefault="00285094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6230" w:type="dxa"/>
            <w:gridSpan w:val="2"/>
          </w:tcPr>
          <w:p w14:paraId="364A2760" w14:textId="77777777" w:rsidR="00285094" w:rsidRPr="00F35B34" w:rsidRDefault="00285094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252ED986" w14:textId="77777777" w:rsidTr="0013568B">
        <w:tc>
          <w:tcPr>
            <w:tcW w:w="6230" w:type="dxa"/>
            <w:gridSpan w:val="2"/>
          </w:tcPr>
          <w:p w14:paraId="7597BE1E" w14:textId="73579ED7" w:rsidR="00285094" w:rsidRPr="00F35B34" w:rsidRDefault="00285094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Отметьте знаком «</w:t>
            </w:r>
            <w:r w:rsidRPr="00F35B3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35B3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5" w:type="dxa"/>
          </w:tcPr>
          <w:p w14:paraId="59657B0F" w14:textId="3FFD5E94" w:rsidR="00285094" w:rsidRPr="00F35B34" w:rsidRDefault="00285094" w:rsidP="009C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Коэффициент</w:t>
            </w:r>
          </w:p>
        </w:tc>
      </w:tr>
      <w:tr w:rsidR="00F35B34" w:rsidRPr="00F35B34" w14:paraId="60DD17FB" w14:textId="77777777" w:rsidTr="0013568B">
        <w:trPr>
          <w:trHeight w:val="706"/>
        </w:trPr>
        <w:tc>
          <w:tcPr>
            <w:tcW w:w="3115" w:type="dxa"/>
            <w:vMerge w:val="restart"/>
          </w:tcPr>
          <w:p w14:paraId="115BB2D0" w14:textId="1181F539" w:rsidR="00285094" w:rsidRPr="00F35B34" w:rsidRDefault="00285094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Соотношение собственных оборотных средств к запасам и затратам (заполняется коммерческими организациями)</w:t>
            </w:r>
          </w:p>
        </w:tc>
        <w:tc>
          <w:tcPr>
            <w:tcW w:w="3115" w:type="dxa"/>
          </w:tcPr>
          <w:p w14:paraId="05E793D5" w14:textId="4FA2DC52" w:rsidR="00285094" w:rsidRPr="00F35B34" w:rsidRDefault="00285094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больше 1</w:t>
            </w:r>
          </w:p>
        </w:tc>
        <w:tc>
          <w:tcPr>
            <w:tcW w:w="3115" w:type="dxa"/>
          </w:tcPr>
          <w:p w14:paraId="201F03AF" w14:textId="5E08269C" w:rsidR="00285094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</w:tr>
      <w:tr w:rsidR="00F35B34" w:rsidRPr="00F35B34" w14:paraId="44A5A09D" w14:textId="77777777" w:rsidTr="00AA37A6">
        <w:tc>
          <w:tcPr>
            <w:tcW w:w="3115" w:type="dxa"/>
            <w:vMerge/>
          </w:tcPr>
          <w:p w14:paraId="1CEDD5FF" w14:textId="77777777" w:rsidR="00285094" w:rsidRPr="00F35B34" w:rsidRDefault="00285094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B375AFF" w14:textId="6EF23C81" w:rsidR="00285094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меньше 1</w:t>
            </w:r>
          </w:p>
        </w:tc>
        <w:tc>
          <w:tcPr>
            <w:tcW w:w="3115" w:type="dxa"/>
          </w:tcPr>
          <w:p w14:paraId="45AACDCA" w14:textId="79BE1159" w:rsidR="00285094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536D085A" w14:textId="77777777" w:rsidTr="0013568B">
        <w:trPr>
          <w:trHeight w:val="427"/>
        </w:trPr>
        <w:tc>
          <w:tcPr>
            <w:tcW w:w="3115" w:type="dxa"/>
            <w:vMerge w:val="restart"/>
          </w:tcPr>
          <w:p w14:paraId="1CE7CD49" w14:textId="2808D00A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Предусмотрены ли выплаты из фонда (заполняется некоммерческими организациями)</w:t>
            </w:r>
          </w:p>
        </w:tc>
        <w:tc>
          <w:tcPr>
            <w:tcW w:w="3115" w:type="dxa"/>
          </w:tcPr>
          <w:p w14:paraId="03BB3AF8" w14:textId="0669112D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нет, может распределяться только инвестиционный доход фонда</w:t>
            </w:r>
          </w:p>
        </w:tc>
        <w:tc>
          <w:tcPr>
            <w:tcW w:w="3115" w:type="dxa"/>
          </w:tcPr>
          <w:p w14:paraId="40D20094" w14:textId="2D53581A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</w:tr>
      <w:tr w:rsidR="00F35B34" w:rsidRPr="00F35B34" w14:paraId="05AFA9CA" w14:textId="77777777" w:rsidTr="00AA37A6">
        <w:tc>
          <w:tcPr>
            <w:tcW w:w="3115" w:type="dxa"/>
            <w:vMerge/>
          </w:tcPr>
          <w:p w14:paraId="7BAD68C6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6997960" w14:textId="2AE4F9E4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115" w:type="dxa"/>
          </w:tcPr>
          <w:p w14:paraId="08D2450D" w14:textId="7167A0BA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</w:t>
            </w:r>
          </w:p>
        </w:tc>
      </w:tr>
      <w:tr w:rsidR="00F35B34" w:rsidRPr="00F35B34" w14:paraId="238B78C4" w14:textId="77777777" w:rsidTr="00AA37A6">
        <w:tc>
          <w:tcPr>
            <w:tcW w:w="3115" w:type="dxa"/>
            <w:vMerge w:val="restart"/>
          </w:tcPr>
          <w:p w14:paraId="7CDCFD29" w14:textId="4047A831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Соотношение чистых активов (активы за вычетом обязательств) </w:t>
            </w:r>
          </w:p>
        </w:tc>
        <w:tc>
          <w:tcPr>
            <w:tcW w:w="3115" w:type="dxa"/>
          </w:tcPr>
          <w:p w14:paraId="44E90661" w14:textId="6FD7DBCB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меньше 0,5</w:t>
            </w:r>
          </w:p>
        </w:tc>
        <w:tc>
          <w:tcPr>
            <w:tcW w:w="3115" w:type="dxa"/>
          </w:tcPr>
          <w:p w14:paraId="3AA69413" w14:textId="56744768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38EB93C8" w14:textId="77777777" w:rsidTr="00AA37A6">
        <w:tc>
          <w:tcPr>
            <w:tcW w:w="3115" w:type="dxa"/>
            <w:vMerge/>
          </w:tcPr>
          <w:p w14:paraId="7BFE7752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C3483F1" w14:textId="770FCA3E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от 0,5 до 1</w:t>
            </w:r>
          </w:p>
        </w:tc>
        <w:tc>
          <w:tcPr>
            <w:tcW w:w="3115" w:type="dxa"/>
          </w:tcPr>
          <w:p w14:paraId="35B697D5" w14:textId="45E445DC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</w:t>
            </w:r>
          </w:p>
        </w:tc>
      </w:tr>
      <w:tr w:rsidR="00F35B34" w:rsidRPr="00F35B34" w14:paraId="455BE751" w14:textId="77777777" w:rsidTr="00AA37A6">
        <w:tc>
          <w:tcPr>
            <w:tcW w:w="3115" w:type="dxa"/>
            <w:vMerge/>
          </w:tcPr>
          <w:p w14:paraId="5DC2952B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CE1687E" w14:textId="660A07A0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от 1 до 2</w:t>
            </w:r>
          </w:p>
        </w:tc>
        <w:tc>
          <w:tcPr>
            <w:tcW w:w="3115" w:type="dxa"/>
          </w:tcPr>
          <w:p w14:paraId="3E726365" w14:textId="6158E408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64124FE6" w14:textId="77777777" w:rsidTr="00AA37A6">
        <w:tc>
          <w:tcPr>
            <w:tcW w:w="3115" w:type="dxa"/>
            <w:vMerge/>
          </w:tcPr>
          <w:p w14:paraId="39253543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3792AB9" w14:textId="0671CA8D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больше 2</w:t>
            </w:r>
          </w:p>
        </w:tc>
        <w:tc>
          <w:tcPr>
            <w:tcW w:w="3115" w:type="dxa"/>
          </w:tcPr>
          <w:p w14:paraId="3A68DDD0" w14:textId="2A310251" w:rsidR="0013568B" w:rsidRPr="00F35B34" w:rsidRDefault="0013568B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</w:tr>
      <w:tr w:rsidR="00F35B34" w:rsidRPr="00F35B34" w14:paraId="62A2DF22" w14:textId="77777777" w:rsidTr="00AA37A6">
        <w:tc>
          <w:tcPr>
            <w:tcW w:w="3115" w:type="dxa"/>
            <w:vMerge w:val="restart"/>
          </w:tcPr>
          <w:p w14:paraId="79FF2AD6" w14:textId="298295B9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Квалификация специалиста, отвечающего за инвестиционную деятельность</w:t>
            </w:r>
          </w:p>
        </w:tc>
        <w:tc>
          <w:tcPr>
            <w:tcW w:w="3115" w:type="dxa"/>
          </w:tcPr>
          <w:p w14:paraId="4D1B5F55" w14:textId="5C12E3D0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отсутствует</w:t>
            </w:r>
          </w:p>
        </w:tc>
        <w:tc>
          <w:tcPr>
            <w:tcW w:w="3115" w:type="dxa"/>
          </w:tcPr>
          <w:p w14:paraId="2E252901" w14:textId="70299ABC" w:rsidR="0013568B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46F235D5" w14:textId="77777777" w:rsidTr="00AA37A6">
        <w:tc>
          <w:tcPr>
            <w:tcW w:w="3115" w:type="dxa"/>
            <w:vMerge/>
          </w:tcPr>
          <w:p w14:paraId="02677C3D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715EBE0" w14:textId="0B5D310C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высшее эконмическое/финансовое образование</w:t>
            </w:r>
          </w:p>
        </w:tc>
        <w:tc>
          <w:tcPr>
            <w:tcW w:w="3115" w:type="dxa"/>
          </w:tcPr>
          <w:p w14:paraId="7F06E7A9" w14:textId="072203D4" w:rsidR="0013568B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</w:t>
            </w:r>
          </w:p>
        </w:tc>
      </w:tr>
      <w:tr w:rsidR="00F35B34" w:rsidRPr="00F35B34" w14:paraId="39273999" w14:textId="77777777" w:rsidTr="00AA37A6">
        <w:tc>
          <w:tcPr>
            <w:tcW w:w="3115" w:type="dxa"/>
            <w:vMerge/>
          </w:tcPr>
          <w:p w14:paraId="4D8E43EC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5D0A02E" w14:textId="7C627584" w:rsidR="0013568B" w:rsidRPr="00F35B34" w:rsidRDefault="0013568B" w:rsidP="0013568B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высшее экономическое /финансовое образование и опыт работы на финансовом рынке более 1 года</w:t>
            </w:r>
          </w:p>
        </w:tc>
        <w:tc>
          <w:tcPr>
            <w:tcW w:w="3115" w:type="dxa"/>
          </w:tcPr>
          <w:p w14:paraId="0F9DF0B0" w14:textId="3EF9944A" w:rsidR="0013568B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7704C093" w14:textId="77777777" w:rsidTr="00AA37A6">
        <w:tc>
          <w:tcPr>
            <w:tcW w:w="3115" w:type="dxa"/>
            <w:vMerge/>
          </w:tcPr>
          <w:p w14:paraId="609B4C39" w14:textId="77777777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0C82197" w14:textId="647F2088" w:rsidR="0013568B" w:rsidRPr="00F35B34" w:rsidRDefault="0013568B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высшее экономическое/финансовое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</w:tc>
        <w:tc>
          <w:tcPr>
            <w:tcW w:w="3115" w:type="dxa"/>
          </w:tcPr>
          <w:p w14:paraId="58BD737F" w14:textId="07BA9E2C" w:rsidR="0013568B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</w:tr>
      <w:tr w:rsidR="00F35B34" w:rsidRPr="00F35B34" w14:paraId="011D6F42" w14:textId="77777777" w:rsidTr="00AA37A6">
        <w:tc>
          <w:tcPr>
            <w:tcW w:w="3115" w:type="dxa"/>
            <w:vMerge w:val="restart"/>
          </w:tcPr>
          <w:p w14:paraId="52C9CC83" w14:textId="4CA4789A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Наличие операций с различными финансовыми инструментами за последний отчетный год</w:t>
            </w:r>
          </w:p>
        </w:tc>
        <w:tc>
          <w:tcPr>
            <w:tcW w:w="3115" w:type="dxa"/>
          </w:tcPr>
          <w:p w14:paraId="22B78E84" w14:textId="3F36D749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отсутствуют</w:t>
            </w:r>
          </w:p>
        </w:tc>
        <w:tc>
          <w:tcPr>
            <w:tcW w:w="3115" w:type="dxa"/>
          </w:tcPr>
          <w:p w14:paraId="76E31805" w14:textId="341E2F67" w:rsidR="004275B8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74B36157" w14:textId="77777777" w:rsidTr="00AA37A6">
        <w:tc>
          <w:tcPr>
            <w:tcW w:w="3115" w:type="dxa"/>
            <w:vMerge/>
          </w:tcPr>
          <w:p w14:paraId="7E1BCE3D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BC3F5F2" w14:textId="145355F2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через управляющую компанию</w:t>
            </w:r>
          </w:p>
        </w:tc>
        <w:tc>
          <w:tcPr>
            <w:tcW w:w="3115" w:type="dxa"/>
          </w:tcPr>
          <w:p w14:paraId="77BEFB16" w14:textId="050D5332" w:rsidR="004275B8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036B3597" w14:textId="77777777" w:rsidTr="00AA37A6">
        <w:tc>
          <w:tcPr>
            <w:tcW w:w="3115" w:type="dxa"/>
            <w:vMerge/>
          </w:tcPr>
          <w:p w14:paraId="55661F31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9C78520" w14:textId="320CE79D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через брокера</w:t>
            </w:r>
          </w:p>
        </w:tc>
        <w:tc>
          <w:tcPr>
            <w:tcW w:w="3115" w:type="dxa"/>
          </w:tcPr>
          <w:p w14:paraId="064AECCD" w14:textId="6B3D514B" w:rsidR="004275B8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3</w:t>
            </w:r>
          </w:p>
        </w:tc>
      </w:tr>
      <w:tr w:rsidR="00F35B34" w:rsidRPr="00F35B34" w14:paraId="6227E5D7" w14:textId="77777777" w:rsidTr="00AA37A6">
        <w:tc>
          <w:tcPr>
            <w:tcW w:w="3115" w:type="dxa"/>
            <w:vMerge w:val="restart"/>
          </w:tcPr>
          <w:p w14:paraId="74E50090" w14:textId="61191A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Срок инвестирования</w:t>
            </w:r>
          </w:p>
        </w:tc>
        <w:tc>
          <w:tcPr>
            <w:tcW w:w="3115" w:type="dxa"/>
          </w:tcPr>
          <w:p w14:paraId="10538F7F" w14:textId="70CDEF81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до 1 года</w:t>
            </w:r>
          </w:p>
        </w:tc>
        <w:tc>
          <w:tcPr>
            <w:tcW w:w="3115" w:type="dxa"/>
          </w:tcPr>
          <w:p w14:paraId="70B4C64A" w14:textId="299315EE" w:rsidR="004275B8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6ECF0D33" w14:textId="77777777" w:rsidTr="00AA37A6">
        <w:tc>
          <w:tcPr>
            <w:tcW w:w="3115" w:type="dxa"/>
            <w:vMerge/>
          </w:tcPr>
          <w:p w14:paraId="542C2AD7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D74663A" w14:textId="71B78C6D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свыше 1 года</w:t>
            </w:r>
          </w:p>
        </w:tc>
        <w:tc>
          <w:tcPr>
            <w:tcW w:w="3115" w:type="dxa"/>
          </w:tcPr>
          <w:p w14:paraId="35829D08" w14:textId="0ABD0755" w:rsidR="004275B8" w:rsidRPr="00F35B34" w:rsidRDefault="004275B8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1971DFD6" w14:textId="77777777" w:rsidTr="00AA37A6">
        <w:tc>
          <w:tcPr>
            <w:tcW w:w="3115" w:type="dxa"/>
            <w:vMerge w:val="restart"/>
          </w:tcPr>
          <w:p w14:paraId="0DB9DA19" w14:textId="4451B83B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Отношение к возможным убыткам</w:t>
            </w:r>
          </w:p>
        </w:tc>
        <w:tc>
          <w:tcPr>
            <w:tcW w:w="3115" w:type="dxa"/>
          </w:tcPr>
          <w:p w14:paraId="2DF09712" w14:textId="013A0C3D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возможные убытки воспринимаю болезненно. </w:t>
            </w:r>
            <w:r w:rsidRPr="00F35B34">
              <w:rPr>
                <w:rFonts w:ascii="Times New Roman" w:hAnsi="Times New Roman" w:cs="Times New Roman"/>
              </w:rPr>
              <w:lastRenderedPageBreak/>
              <w:t>Основная цель – сохранить капитал</w:t>
            </w:r>
          </w:p>
        </w:tc>
        <w:tc>
          <w:tcPr>
            <w:tcW w:w="3115" w:type="dxa"/>
          </w:tcPr>
          <w:p w14:paraId="01E06AE7" w14:textId="56A90354" w:rsidR="004275B8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F35B34" w:rsidRPr="00F35B34" w14:paraId="373C2BA0" w14:textId="77777777" w:rsidTr="00AA37A6">
        <w:tc>
          <w:tcPr>
            <w:tcW w:w="3115" w:type="dxa"/>
            <w:vMerge/>
          </w:tcPr>
          <w:p w14:paraId="358188F1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56F5FEA" w14:textId="1874086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возможны незначительные убытки. Готов ждать, когда вложения снова будут показывать доход</w:t>
            </w:r>
          </w:p>
        </w:tc>
        <w:tc>
          <w:tcPr>
            <w:tcW w:w="3115" w:type="dxa"/>
          </w:tcPr>
          <w:p w14:paraId="5CBF7018" w14:textId="2FE8B6D0" w:rsidR="004275B8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013EE3C9" w14:textId="77777777" w:rsidTr="00AA37A6">
        <w:tc>
          <w:tcPr>
            <w:tcW w:w="3115" w:type="dxa"/>
            <w:vMerge/>
          </w:tcPr>
          <w:p w14:paraId="64D22860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D63DA97" w14:textId="78B2F19B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спокойно отношусь к убыткам. Основная цель – получить существенный доход.</w:t>
            </w:r>
          </w:p>
        </w:tc>
        <w:tc>
          <w:tcPr>
            <w:tcW w:w="3115" w:type="dxa"/>
          </w:tcPr>
          <w:p w14:paraId="2AC5CC64" w14:textId="0DBA147F" w:rsidR="004275B8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6EFF9F33" w14:textId="77777777" w:rsidTr="00AA37A6">
        <w:tc>
          <w:tcPr>
            <w:tcW w:w="3115" w:type="dxa"/>
            <w:vMerge/>
          </w:tcPr>
          <w:p w14:paraId="28265DB0" w14:textId="77777777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2E4EED8" w14:textId="32996F3D" w:rsidR="004275B8" w:rsidRPr="00F35B34" w:rsidRDefault="004275B8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готов к убыткам. Главное – получить максимальный доход.</w:t>
            </w:r>
          </w:p>
        </w:tc>
        <w:tc>
          <w:tcPr>
            <w:tcW w:w="3115" w:type="dxa"/>
          </w:tcPr>
          <w:p w14:paraId="03ABC05F" w14:textId="36B0F1D4" w:rsidR="004275B8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4B40E514" w14:textId="77777777" w:rsidTr="00AA37A6">
        <w:tc>
          <w:tcPr>
            <w:tcW w:w="3115" w:type="dxa"/>
            <w:vMerge w:val="restart"/>
          </w:tcPr>
          <w:p w14:paraId="72397746" w14:textId="6499306D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Инвестиционные цели</w:t>
            </w:r>
          </w:p>
        </w:tc>
        <w:tc>
          <w:tcPr>
            <w:tcW w:w="3115" w:type="dxa"/>
          </w:tcPr>
          <w:p w14:paraId="21A1AFB8" w14:textId="1F6D8ACD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сохранение капитала и поддержание высокой ликвидности</w:t>
            </w:r>
          </w:p>
        </w:tc>
        <w:tc>
          <w:tcPr>
            <w:tcW w:w="3115" w:type="dxa"/>
          </w:tcPr>
          <w:p w14:paraId="52DEDFEA" w14:textId="3D3A1381" w:rsidR="008A6C3C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0</w:t>
            </w:r>
          </w:p>
        </w:tc>
      </w:tr>
      <w:tr w:rsidR="00F35B34" w:rsidRPr="00F35B34" w14:paraId="7F11FB25" w14:textId="77777777" w:rsidTr="00AA37A6">
        <w:tc>
          <w:tcPr>
            <w:tcW w:w="3115" w:type="dxa"/>
            <w:vMerge/>
          </w:tcPr>
          <w:p w14:paraId="5DBDD32E" w14:textId="77777777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65B6F71" w14:textId="29942203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получение дохода выше, чем депозит в банке</w:t>
            </w:r>
          </w:p>
        </w:tc>
        <w:tc>
          <w:tcPr>
            <w:tcW w:w="3115" w:type="dxa"/>
          </w:tcPr>
          <w:p w14:paraId="0CCF12D4" w14:textId="780B0C42" w:rsidR="008A6C3C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2</w:t>
            </w:r>
          </w:p>
        </w:tc>
      </w:tr>
      <w:tr w:rsidR="00F35B34" w:rsidRPr="00F35B34" w14:paraId="07AED451" w14:textId="77777777" w:rsidTr="00AA37A6">
        <w:tc>
          <w:tcPr>
            <w:tcW w:w="3115" w:type="dxa"/>
            <w:vMerge/>
          </w:tcPr>
          <w:p w14:paraId="1853DC70" w14:textId="77777777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43C76EC" w14:textId="3F7295C1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получение существенного дохода</w:t>
            </w:r>
          </w:p>
        </w:tc>
        <w:tc>
          <w:tcPr>
            <w:tcW w:w="3115" w:type="dxa"/>
          </w:tcPr>
          <w:p w14:paraId="7EAB2B73" w14:textId="5AE23C5B" w:rsidR="008A6C3C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4</w:t>
            </w:r>
          </w:p>
        </w:tc>
      </w:tr>
      <w:tr w:rsidR="00F35B34" w:rsidRPr="00F35B34" w14:paraId="22C9F5AD" w14:textId="77777777" w:rsidTr="00AA37A6">
        <w:tc>
          <w:tcPr>
            <w:tcW w:w="3115" w:type="dxa"/>
            <w:vMerge/>
          </w:tcPr>
          <w:p w14:paraId="5E017DC7" w14:textId="77777777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A433427" w14:textId="2F9619D2" w:rsidR="008A6C3C" w:rsidRPr="00F35B34" w:rsidRDefault="008A6C3C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получение максимального дохода</w:t>
            </w:r>
          </w:p>
        </w:tc>
        <w:tc>
          <w:tcPr>
            <w:tcW w:w="3115" w:type="dxa"/>
          </w:tcPr>
          <w:p w14:paraId="7F34AC7B" w14:textId="75924E6E" w:rsidR="008A6C3C" w:rsidRPr="00F35B34" w:rsidRDefault="008A6C3C" w:rsidP="009C1E07">
            <w:pPr>
              <w:jc w:val="center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6</w:t>
            </w:r>
          </w:p>
        </w:tc>
      </w:tr>
      <w:tr w:rsidR="00F35B34" w:rsidRPr="00F35B34" w14:paraId="1BF6B851" w14:textId="77777777" w:rsidTr="008A6C3C">
        <w:trPr>
          <w:trHeight w:val="507"/>
        </w:trPr>
        <w:tc>
          <w:tcPr>
            <w:tcW w:w="6230" w:type="dxa"/>
            <w:gridSpan w:val="2"/>
          </w:tcPr>
          <w:p w14:paraId="4DF3F18C" w14:textId="203598D2" w:rsidR="008A6C3C" w:rsidRPr="00F35B34" w:rsidRDefault="008A6C3C" w:rsidP="006320F5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>Итоговый коэффициент</w:t>
            </w:r>
          </w:p>
        </w:tc>
        <w:tc>
          <w:tcPr>
            <w:tcW w:w="3115" w:type="dxa"/>
          </w:tcPr>
          <w:p w14:paraId="228679AD" w14:textId="77777777" w:rsidR="008A6C3C" w:rsidRPr="00F35B34" w:rsidRDefault="008A6C3C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B34" w:rsidRPr="00F35B34" w14:paraId="74EB7CCC" w14:textId="77777777" w:rsidTr="008A6C3C">
        <w:trPr>
          <w:trHeight w:val="809"/>
        </w:trPr>
        <w:tc>
          <w:tcPr>
            <w:tcW w:w="3115" w:type="dxa"/>
          </w:tcPr>
          <w:p w14:paraId="19013694" w14:textId="4D015B03" w:rsidR="008A6C3C" w:rsidRPr="00F35B34" w:rsidRDefault="008A6C3C" w:rsidP="009C1E07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 xml:space="preserve">Подпись лицо, действующего от имени </w:t>
            </w:r>
            <w:r w:rsidR="009C1E07" w:rsidRPr="00F35B34">
              <w:rPr>
                <w:rFonts w:ascii="Times New Roman" w:hAnsi="Times New Roman" w:cs="Times New Roman"/>
                <w:b/>
              </w:rPr>
              <w:t>к</w:t>
            </w:r>
            <w:r w:rsidRPr="00F35B34">
              <w:rPr>
                <w:rFonts w:ascii="Times New Roman" w:hAnsi="Times New Roman" w:cs="Times New Roman"/>
                <w:b/>
              </w:rPr>
              <w:t>лиента</w:t>
            </w:r>
          </w:p>
        </w:tc>
        <w:tc>
          <w:tcPr>
            <w:tcW w:w="6230" w:type="dxa"/>
            <w:gridSpan w:val="2"/>
          </w:tcPr>
          <w:p w14:paraId="78A534E7" w14:textId="77777777" w:rsidR="008A6C3C" w:rsidRPr="00F35B34" w:rsidRDefault="008A6C3C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C3C" w:rsidRPr="00F35B34" w14:paraId="4EF7B3D4" w14:textId="77777777" w:rsidTr="00ED73E7">
        <w:tc>
          <w:tcPr>
            <w:tcW w:w="3115" w:type="dxa"/>
          </w:tcPr>
          <w:p w14:paraId="4A8B8317" w14:textId="78B648AC" w:rsidR="008A6C3C" w:rsidRPr="00F35B34" w:rsidRDefault="008A6C3C" w:rsidP="009C1E07">
            <w:pPr>
              <w:rPr>
                <w:rFonts w:ascii="Times New Roman" w:hAnsi="Times New Roman" w:cs="Times New Roman"/>
                <w:b/>
              </w:rPr>
            </w:pPr>
            <w:r w:rsidRPr="00F35B34">
              <w:rPr>
                <w:rFonts w:ascii="Times New Roman" w:hAnsi="Times New Roman" w:cs="Times New Roman"/>
                <w:b/>
              </w:rPr>
              <w:t xml:space="preserve">ФИО лица, действующего от имени </w:t>
            </w:r>
            <w:r w:rsidR="009C1E07" w:rsidRPr="00F35B34">
              <w:rPr>
                <w:rFonts w:ascii="Times New Roman" w:hAnsi="Times New Roman" w:cs="Times New Roman"/>
                <w:b/>
              </w:rPr>
              <w:t>к</w:t>
            </w:r>
            <w:r w:rsidRPr="00F35B34">
              <w:rPr>
                <w:rFonts w:ascii="Times New Roman" w:hAnsi="Times New Roman" w:cs="Times New Roman"/>
                <w:b/>
              </w:rPr>
              <w:t>лиента-юридического лица с указанием основания полномочия</w:t>
            </w:r>
          </w:p>
        </w:tc>
        <w:tc>
          <w:tcPr>
            <w:tcW w:w="6230" w:type="dxa"/>
            <w:gridSpan w:val="2"/>
          </w:tcPr>
          <w:p w14:paraId="228B242E" w14:textId="77777777" w:rsidR="008A6C3C" w:rsidRPr="00F35B34" w:rsidRDefault="008A6C3C" w:rsidP="006320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FE0859F" w14:textId="77777777" w:rsidR="009D029C" w:rsidRPr="00F35B34" w:rsidRDefault="009D029C" w:rsidP="006320F5">
      <w:pPr>
        <w:rPr>
          <w:rFonts w:ascii="Times New Roman" w:hAnsi="Times New Roman" w:cs="Times New Roman"/>
        </w:rPr>
      </w:pPr>
    </w:p>
    <w:p w14:paraId="706B1D74" w14:textId="708AD72C" w:rsidR="00C85884" w:rsidRPr="00F35B34" w:rsidRDefault="00C85884" w:rsidP="006320F5">
      <w:pPr>
        <w:rPr>
          <w:rFonts w:ascii="Times New Roman" w:hAnsi="Times New Roman" w:cs="Times New Roman"/>
        </w:rPr>
      </w:pPr>
    </w:p>
    <w:p w14:paraId="196DA5C8" w14:textId="1E7D9857" w:rsidR="00C64C5B" w:rsidRPr="00F35B34" w:rsidRDefault="00C64C5B" w:rsidP="006320F5">
      <w:pPr>
        <w:rPr>
          <w:rFonts w:ascii="Times New Roman" w:hAnsi="Times New Roman" w:cs="Times New Roman"/>
        </w:rPr>
      </w:pPr>
    </w:p>
    <w:p w14:paraId="5349FB4D" w14:textId="583A8D91" w:rsidR="00C64C5B" w:rsidRPr="00F35B34" w:rsidRDefault="00C64C5B" w:rsidP="006320F5">
      <w:pPr>
        <w:rPr>
          <w:rFonts w:ascii="Times New Roman" w:hAnsi="Times New Roman" w:cs="Times New Roman"/>
        </w:rPr>
      </w:pPr>
    </w:p>
    <w:p w14:paraId="5955D049" w14:textId="4C246DD7" w:rsidR="00C64C5B" w:rsidRPr="00F35B34" w:rsidRDefault="00C64C5B" w:rsidP="006320F5">
      <w:pPr>
        <w:rPr>
          <w:rFonts w:ascii="Times New Roman" w:hAnsi="Times New Roman" w:cs="Times New Roman"/>
        </w:rPr>
      </w:pPr>
    </w:p>
    <w:p w14:paraId="2C96AB78" w14:textId="2B3CF6AF" w:rsidR="00C64C5B" w:rsidRPr="00F35B34" w:rsidRDefault="00C64C5B" w:rsidP="006320F5">
      <w:pPr>
        <w:rPr>
          <w:rFonts w:ascii="Times New Roman" w:hAnsi="Times New Roman" w:cs="Times New Roman"/>
        </w:rPr>
      </w:pPr>
    </w:p>
    <w:p w14:paraId="5CD0541D" w14:textId="3F37D3BF" w:rsidR="00C64C5B" w:rsidRPr="00F35B34" w:rsidRDefault="00C64C5B" w:rsidP="006320F5">
      <w:pPr>
        <w:rPr>
          <w:rFonts w:ascii="Times New Roman" w:hAnsi="Times New Roman" w:cs="Times New Roman"/>
        </w:rPr>
      </w:pPr>
    </w:p>
    <w:p w14:paraId="5BC31FDA" w14:textId="67A9C363" w:rsidR="00C64C5B" w:rsidRPr="00F35B34" w:rsidRDefault="00C64C5B" w:rsidP="006320F5">
      <w:pPr>
        <w:rPr>
          <w:rFonts w:ascii="Times New Roman" w:hAnsi="Times New Roman" w:cs="Times New Roman"/>
        </w:rPr>
      </w:pPr>
    </w:p>
    <w:p w14:paraId="76B99AF5" w14:textId="497A9BB8" w:rsidR="00C64C5B" w:rsidRPr="00F35B34" w:rsidRDefault="00C64C5B" w:rsidP="006320F5">
      <w:pPr>
        <w:rPr>
          <w:rFonts w:ascii="Times New Roman" w:hAnsi="Times New Roman" w:cs="Times New Roman"/>
        </w:rPr>
      </w:pPr>
    </w:p>
    <w:p w14:paraId="7FB4BF47" w14:textId="541AF40A" w:rsidR="00C64C5B" w:rsidRPr="00F35B34" w:rsidRDefault="00C64C5B" w:rsidP="006320F5">
      <w:pPr>
        <w:rPr>
          <w:rFonts w:ascii="Times New Roman" w:hAnsi="Times New Roman" w:cs="Times New Roman"/>
        </w:rPr>
      </w:pPr>
    </w:p>
    <w:p w14:paraId="2910F72E" w14:textId="38DAA78B" w:rsidR="00C64C5B" w:rsidRPr="00F35B34" w:rsidRDefault="00C64C5B" w:rsidP="006320F5">
      <w:pPr>
        <w:rPr>
          <w:rFonts w:ascii="Times New Roman" w:hAnsi="Times New Roman" w:cs="Times New Roman"/>
        </w:rPr>
      </w:pPr>
    </w:p>
    <w:p w14:paraId="375A47E1" w14:textId="23FA6A46" w:rsidR="000E4A5C" w:rsidRPr="00F35B34" w:rsidRDefault="000E4A5C" w:rsidP="006320F5">
      <w:pPr>
        <w:rPr>
          <w:rFonts w:ascii="Times New Roman" w:hAnsi="Times New Roman" w:cs="Times New Roman"/>
        </w:rPr>
      </w:pPr>
    </w:p>
    <w:p w14:paraId="58CBD79F" w14:textId="1F1BD797" w:rsidR="008C3DF3" w:rsidRPr="00F35B34" w:rsidRDefault="008C3DF3" w:rsidP="006320F5">
      <w:pPr>
        <w:rPr>
          <w:rFonts w:ascii="Times New Roman" w:hAnsi="Times New Roman" w:cs="Times New Roman"/>
        </w:rPr>
      </w:pPr>
    </w:p>
    <w:p w14:paraId="0A2A73C1" w14:textId="77777777" w:rsidR="008C3DF3" w:rsidRPr="00F35B34" w:rsidRDefault="008C3DF3" w:rsidP="006320F5">
      <w:pPr>
        <w:rPr>
          <w:rFonts w:ascii="Times New Roman" w:hAnsi="Times New Roman" w:cs="Times New Roman"/>
        </w:rPr>
      </w:pPr>
    </w:p>
    <w:p w14:paraId="76CCCEDF" w14:textId="77777777" w:rsidR="000E4A5C" w:rsidRPr="00F35B34" w:rsidRDefault="000E4A5C" w:rsidP="006320F5">
      <w:pPr>
        <w:rPr>
          <w:rFonts w:ascii="Times New Roman" w:hAnsi="Times New Roman" w:cs="Times New Roman"/>
        </w:rPr>
      </w:pPr>
    </w:p>
    <w:p w14:paraId="045EB032" w14:textId="5CA20CAB" w:rsidR="00C64C5B" w:rsidRPr="00F35B34" w:rsidRDefault="00C64C5B" w:rsidP="00C64C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№3 к Порядку определения инвестиционного профиля </w:t>
      </w:r>
    </w:p>
    <w:p w14:paraId="3F9A2ADB" w14:textId="77777777" w:rsidR="00C64C5B" w:rsidRPr="00F35B34" w:rsidRDefault="00C64C5B" w:rsidP="00C64C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186AF258" w14:textId="77777777" w:rsidR="00C64C5B" w:rsidRPr="00F35B34" w:rsidRDefault="00C64C5B" w:rsidP="00C64C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59DFEB31" w14:textId="09E70477" w:rsidR="00C64C5B" w:rsidRPr="00F35B34" w:rsidRDefault="006C3FDE" w:rsidP="00C64C5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E4E8CBD" w14:textId="77777777" w:rsidR="00C64C5B" w:rsidRPr="00F35B34" w:rsidRDefault="00C64C5B" w:rsidP="00C64C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АНКЕТА</w:t>
      </w:r>
    </w:p>
    <w:p w14:paraId="267A3BFA" w14:textId="1FABBD2A" w:rsidR="00C64C5B" w:rsidRPr="00F35B34" w:rsidRDefault="00C64C5B" w:rsidP="00C64C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 xml:space="preserve">для определения </w:t>
      </w:r>
      <w:r w:rsidR="00456B36" w:rsidRPr="00F35B34">
        <w:rPr>
          <w:rFonts w:ascii="Times New Roman" w:hAnsi="Times New Roman" w:cs="Times New Roman"/>
          <w:b/>
          <w:i/>
        </w:rPr>
        <w:t>инвестиционного профиля клиента</w:t>
      </w:r>
    </w:p>
    <w:p w14:paraId="3A5BAF7A" w14:textId="5977DD83" w:rsidR="00C64C5B" w:rsidRPr="00F35B34" w:rsidRDefault="00456B36" w:rsidP="00C64C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(для квалифицированных инвесторов)</w:t>
      </w:r>
      <w:r w:rsidR="00C64C5B" w:rsidRPr="00F35B34">
        <w:rPr>
          <w:rFonts w:ascii="Times New Roman" w:hAnsi="Times New Roman" w:cs="Times New Roman"/>
          <w:b/>
          <w:i/>
        </w:rPr>
        <w:t>)</w:t>
      </w:r>
    </w:p>
    <w:p w14:paraId="6A67A400" w14:textId="77777777" w:rsidR="00C64C5B" w:rsidRPr="00F35B34" w:rsidRDefault="00C64C5B" w:rsidP="00C64C5B">
      <w:pPr>
        <w:rPr>
          <w:rFonts w:ascii="Times New Roman" w:hAnsi="Times New Roman" w:cs="Times New Roman"/>
        </w:rPr>
      </w:pPr>
    </w:p>
    <w:p w14:paraId="250B752F" w14:textId="4B080F68" w:rsidR="00C64C5B" w:rsidRPr="00F35B34" w:rsidRDefault="00C64C5B" w:rsidP="00C64C5B">
      <w:pPr>
        <w:ind w:firstLine="567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Банк информирует Клиента о том, что риск негативных последствий предоставления Клиентом недостоверной информации для определения его Инвестиционного профиля,</w:t>
      </w:r>
      <w:r w:rsidR="001E702B" w:rsidRPr="00F35B34">
        <w:rPr>
          <w:rFonts w:ascii="Times New Roman" w:hAnsi="Times New Roman" w:cs="Times New Roman"/>
        </w:rPr>
        <w:t xml:space="preserve"> возлагается на самого клиента.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F35B34" w:rsidRPr="00F35B34" w14:paraId="50247FAB" w14:textId="77777777" w:rsidTr="00456B36">
        <w:tc>
          <w:tcPr>
            <w:tcW w:w="2547" w:type="dxa"/>
          </w:tcPr>
          <w:p w14:paraId="00C892EF" w14:textId="70BD916A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6798" w:type="dxa"/>
          </w:tcPr>
          <w:p w14:paraId="29B998B7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  <w:tr w:rsidR="00F35B34" w:rsidRPr="00F35B34" w14:paraId="39BE7522" w14:textId="77777777" w:rsidTr="00456B36">
        <w:tc>
          <w:tcPr>
            <w:tcW w:w="2547" w:type="dxa"/>
          </w:tcPr>
          <w:p w14:paraId="2342AAA3" w14:textId="64CCF733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Тип Клиента</w:t>
            </w:r>
          </w:p>
        </w:tc>
        <w:tc>
          <w:tcPr>
            <w:tcW w:w="6798" w:type="dxa"/>
          </w:tcPr>
          <w:p w14:paraId="4F98F366" w14:textId="75930B82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юридическое лицо                                 </w:t>
            </w: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F35B34" w:rsidRPr="00F35B34" w14:paraId="2C16337D" w14:textId="77777777" w:rsidTr="00456B36">
        <w:tc>
          <w:tcPr>
            <w:tcW w:w="2547" w:type="dxa"/>
          </w:tcPr>
          <w:p w14:paraId="5AA07477" w14:textId="05DEB001" w:rsidR="00456B36" w:rsidRPr="00F35B34" w:rsidRDefault="001C0FF2" w:rsidP="001C0FF2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ФИО</w:t>
            </w:r>
            <w:r w:rsidR="00456B36" w:rsidRPr="00F35B34">
              <w:rPr>
                <w:rFonts w:ascii="Times New Roman" w:hAnsi="Times New Roman" w:cs="Times New Roman"/>
              </w:rPr>
              <w:t>/ полное наименование Клиента</w:t>
            </w:r>
          </w:p>
        </w:tc>
        <w:tc>
          <w:tcPr>
            <w:tcW w:w="6798" w:type="dxa"/>
          </w:tcPr>
          <w:p w14:paraId="58A0CE46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  <w:tr w:rsidR="00F35B34" w:rsidRPr="00F35B34" w14:paraId="239706C8" w14:textId="77777777" w:rsidTr="00456B36">
        <w:tc>
          <w:tcPr>
            <w:tcW w:w="2547" w:type="dxa"/>
          </w:tcPr>
          <w:p w14:paraId="6AC21700" w14:textId="40F65764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ИНН Клиента</w:t>
            </w:r>
          </w:p>
        </w:tc>
        <w:tc>
          <w:tcPr>
            <w:tcW w:w="6798" w:type="dxa"/>
          </w:tcPr>
          <w:p w14:paraId="32F95DFA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  <w:tr w:rsidR="00F35B34" w:rsidRPr="00F35B34" w14:paraId="6758D0E0" w14:textId="77777777" w:rsidTr="00456B36">
        <w:tc>
          <w:tcPr>
            <w:tcW w:w="2547" w:type="dxa"/>
          </w:tcPr>
          <w:p w14:paraId="73EBDAA7" w14:textId="4AC46388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Данные документа. Удостоверяющего личность физического лица/ ОГРН юридического лица</w:t>
            </w:r>
          </w:p>
        </w:tc>
        <w:tc>
          <w:tcPr>
            <w:tcW w:w="6798" w:type="dxa"/>
          </w:tcPr>
          <w:p w14:paraId="3A303B1E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  <w:tr w:rsidR="00F35B34" w:rsidRPr="00F35B34" w14:paraId="461A0307" w14:textId="77777777" w:rsidTr="00ED73E7">
        <w:tc>
          <w:tcPr>
            <w:tcW w:w="9345" w:type="dxa"/>
            <w:gridSpan w:val="2"/>
          </w:tcPr>
          <w:p w14:paraId="4A915FEE" w14:textId="01B767E5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Отметьте ответ знаком «</w:t>
            </w:r>
            <w:r w:rsidRPr="00F35B34">
              <w:rPr>
                <w:rFonts w:ascii="Times New Roman" w:hAnsi="Times New Roman" w:cs="Times New Roman"/>
                <w:lang w:val="en-US"/>
              </w:rPr>
              <w:t>V</w:t>
            </w:r>
            <w:r w:rsidRPr="00F35B34">
              <w:rPr>
                <w:rFonts w:ascii="Times New Roman" w:hAnsi="Times New Roman" w:cs="Times New Roman"/>
              </w:rPr>
              <w:t>»</w:t>
            </w:r>
          </w:p>
        </w:tc>
      </w:tr>
      <w:tr w:rsidR="00F35B34" w:rsidRPr="00F35B34" w14:paraId="6EDCAC8B" w14:textId="77777777" w:rsidTr="00456B36">
        <w:tc>
          <w:tcPr>
            <w:tcW w:w="2547" w:type="dxa"/>
          </w:tcPr>
          <w:p w14:paraId="6EF30E03" w14:textId="197942BE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Инвестиционный горизонт </w:t>
            </w:r>
          </w:p>
        </w:tc>
        <w:tc>
          <w:tcPr>
            <w:tcW w:w="6798" w:type="dxa"/>
          </w:tcPr>
          <w:p w14:paraId="7B906E8C" w14:textId="24733E2C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до 1 года</w:t>
            </w:r>
          </w:p>
          <w:p w14:paraId="3582CFCF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  <w:p w14:paraId="7D6D8D8F" w14:textId="26E0E38A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свыше 1 года</w:t>
            </w:r>
          </w:p>
        </w:tc>
      </w:tr>
      <w:tr w:rsidR="00F35B34" w:rsidRPr="00F35B34" w14:paraId="57F7CFB9" w14:textId="77777777" w:rsidTr="00456B36">
        <w:tc>
          <w:tcPr>
            <w:tcW w:w="2547" w:type="dxa"/>
          </w:tcPr>
          <w:p w14:paraId="3E74E19D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Ожидаемая доходность </w:t>
            </w:r>
          </w:p>
          <w:p w14:paraId="22D44B9B" w14:textId="2476C463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(Выбор уровня ожидаемой доходности производится в соответствии с п. ХХ Порядка определения инвестиционного </w:t>
            </w:r>
          </w:p>
        </w:tc>
        <w:tc>
          <w:tcPr>
            <w:tcW w:w="6798" w:type="dxa"/>
          </w:tcPr>
          <w:p w14:paraId="0805BD0E" w14:textId="77777777" w:rsidR="00456B36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ниже средней</w:t>
            </w:r>
          </w:p>
          <w:p w14:paraId="2D4AED32" w14:textId="77777777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</w:p>
          <w:p w14:paraId="4C1F3164" w14:textId="77777777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умеренная</w:t>
            </w:r>
          </w:p>
          <w:p w14:paraId="73CED590" w14:textId="77777777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</w:p>
          <w:p w14:paraId="6596B830" w14:textId="77777777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выше средней</w:t>
            </w:r>
          </w:p>
          <w:p w14:paraId="41882EE8" w14:textId="77777777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</w:p>
          <w:p w14:paraId="45653D91" w14:textId="3B6EB716" w:rsidR="001C0FF2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sym w:font="Symbol" w:char="F0F0"/>
            </w:r>
            <w:r w:rsidRPr="00F35B34">
              <w:rPr>
                <w:rFonts w:ascii="Times New Roman" w:hAnsi="Times New Roman" w:cs="Times New Roman"/>
              </w:rPr>
              <w:t xml:space="preserve"> высокая</w:t>
            </w:r>
          </w:p>
        </w:tc>
      </w:tr>
      <w:tr w:rsidR="00F35B34" w:rsidRPr="00F35B34" w14:paraId="14929D68" w14:textId="77777777" w:rsidTr="00456B36">
        <w:tc>
          <w:tcPr>
            <w:tcW w:w="2547" w:type="dxa"/>
          </w:tcPr>
          <w:p w14:paraId="3E55237E" w14:textId="2127DEEA" w:rsidR="00456B36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Подпись Клиента</w:t>
            </w:r>
          </w:p>
        </w:tc>
        <w:tc>
          <w:tcPr>
            <w:tcW w:w="6798" w:type="dxa"/>
          </w:tcPr>
          <w:p w14:paraId="633F75AF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  <w:tr w:rsidR="00456B36" w:rsidRPr="00F35B34" w14:paraId="6855AD45" w14:textId="77777777" w:rsidTr="00456B36">
        <w:tc>
          <w:tcPr>
            <w:tcW w:w="2547" w:type="dxa"/>
          </w:tcPr>
          <w:p w14:paraId="1A7B21EA" w14:textId="67F1A68B" w:rsidR="00456B36" w:rsidRPr="00F35B34" w:rsidRDefault="001C0FF2" w:rsidP="006320F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ФИО Клиента/ФИО лица, действующего от имени Клиента-юридического лица с указанием основания полномочий</w:t>
            </w:r>
          </w:p>
        </w:tc>
        <w:tc>
          <w:tcPr>
            <w:tcW w:w="6798" w:type="dxa"/>
          </w:tcPr>
          <w:p w14:paraId="00D0E108" w14:textId="77777777" w:rsidR="00456B36" w:rsidRPr="00F35B34" w:rsidRDefault="00456B36" w:rsidP="006320F5">
            <w:pPr>
              <w:rPr>
                <w:rFonts w:ascii="Times New Roman" w:hAnsi="Times New Roman" w:cs="Times New Roman"/>
              </w:rPr>
            </w:pPr>
          </w:p>
        </w:tc>
      </w:tr>
    </w:tbl>
    <w:p w14:paraId="357EEBF6" w14:textId="612EFBAE" w:rsidR="00C64C5B" w:rsidRPr="00F35B34" w:rsidRDefault="00C64C5B" w:rsidP="006320F5">
      <w:pPr>
        <w:rPr>
          <w:rFonts w:ascii="Times New Roman" w:hAnsi="Times New Roman" w:cs="Times New Roman"/>
        </w:rPr>
      </w:pPr>
    </w:p>
    <w:p w14:paraId="627A2EB5" w14:textId="3271D6B8" w:rsidR="00C64C5B" w:rsidRPr="00F35B34" w:rsidRDefault="00C64C5B" w:rsidP="006320F5">
      <w:pPr>
        <w:rPr>
          <w:rFonts w:ascii="Times New Roman" w:hAnsi="Times New Roman" w:cs="Times New Roman"/>
        </w:rPr>
      </w:pPr>
    </w:p>
    <w:p w14:paraId="544715A1" w14:textId="46159196" w:rsidR="001C0FF2" w:rsidRPr="00F35B34" w:rsidRDefault="001C0FF2" w:rsidP="006320F5">
      <w:pPr>
        <w:rPr>
          <w:rFonts w:ascii="Times New Roman" w:hAnsi="Times New Roman" w:cs="Times New Roman"/>
        </w:rPr>
      </w:pPr>
    </w:p>
    <w:p w14:paraId="447F0800" w14:textId="19A779EC" w:rsidR="001C0FF2" w:rsidRPr="00F35B34" w:rsidRDefault="001C0FF2" w:rsidP="006320F5">
      <w:pPr>
        <w:rPr>
          <w:rFonts w:ascii="Times New Roman" w:hAnsi="Times New Roman" w:cs="Times New Roman"/>
        </w:rPr>
      </w:pPr>
    </w:p>
    <w:p w14:paraId="48FD1F29" w14:textId="31A14C3A" w:rsidR="008C3DF3" w:rsidRPr="00F35B34" w:rsidRDefault="008C3DF3" w:rsidP="006320F5">
      <w:pPr>
        <w:rPr>
          <w:rFonts w:ascii="Times New Roman" w:hAnsi="Times New Roman" w:cs="Times New Roman"/>
        </w:rPr>
      </w:pPr>
    </w:p>
    <w:p w14:paraId="13F608DE" w14:textId="60BEDE2D" w:rsidR="008C3DF3" w:rsidRPr="00F35B34" w:rsidRDefault="008C3DF3" w:rsidP="006320F5">
      <w:pPr>
        <w:rPr>
          <w:rFonts w:ascii="Times New Roman" w:hAnsi="Times New Roman" w:cs="Times New Roman"/>
        </w:rPr>
      </w:pPr>
    </w:p>
    <w:p w14:paraId="155E40AA" w14:textId="77777777" w:rsidR="008C3DF3" w:rsidRPr="00F35B34" w:rsidRDefault="008C3DF3" w:rsidP="006320F5">
      <w:pPr>
        <w:rPr>
          <w:rFonts w:ascii="Times New Roman" w:hAnsi="Times New Roman" w:cs="Times New Roman"/>
        </w:rPr>
      </w:pPr>
    </w:p>
    <w:p w14:paraId="5F6E29E1" w14:textId="20498C4F" w:rsidR="001C0FF2" w:rsidRPr="00F35B34" w:rsidRDefault="001C0FF2" w:rsidP="006320F5">
      <w:pPr>
        <w:rPr>
          <w:rFonts w:ascii="Times New Roman" w:hAnsi="Times New Roman" w:cs="Times New Roman"/>
        </w:rPr>
      </w:pPr>
    </w:p>
    <w:p w14:paraId="409877EF" w14:textId="343DDF5F" w:rsidR="001C0FF2" w:rsidRPr="00F35B34" w:rsidRDefault="001C0FF2" w:rsidP="006320F5">
      <w:pPr>
        <w:rPr>
          <w:rFonts w:ascii="Times New Roman" w:hAnsi="Times New Roman" w:cs="Times New Roman"/>
        </w:rPr>
      </w:pPr>
    </w:p>
    <w:p w14:paraId="44AF074B" w14:textId="09B7A28A" w:rsidR="001C0FF2" w:rsidRPr="00F35B34" w:rsidRDefault="001C0FF2" w:rsidP="006320F5">
      <w:pPr>
        <w:rPr>
          <w:rFonts w:ascii="Times New Roman" w:hAnsi="Times New Roman" w:cs="Times New Roman"/>
        </w:rPr>
      </w:pPr>
    </w:p>
    <w:p w14:paraId="215DAC26" w14:textId="07C8531D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№4 к Порядку определения инвестиционного профиля </w:t>
      </w:r>
    </w:p>
    <w:p w14:paraId="21A1E421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5AB993EA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05B76AD7" w14:textId="5920CF1D" w:rsidR="00115395" w:rsidRPr="00F35B34" w:rsidRDefault="0046174B" w:rsidP="00115395">
      <w:pPr>
        <w:jc w:val="right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88A6004" w14:textId="77777777" w:rsidR="00115395" w:rsidRPr="00F35B34" w:rsidRDefault="00115395" w:rsidP="00115395">
      <w:pPr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Стандартная стратегия управления - «Защита капитала»</w:t>
      </w:r>
    </w:p>
    <w:tbl>
      <w:tblPr>
        <w:tblW w:w="9782" w:type="dxa"/>
        <w:tblInd w:w="-147" w:type="dxa"/>
        <w:tblLook w:val="04A0" w:firstRow="1" w:lastRow="0" w:firstColumn="1" w:lastColumn="0" w:noHBand="0" w:noVBand="1"/>
      </w:tblPr>
      <w:tblGrid>
        <w:gridCol w:w="5500"/>
        <w:gridCol w:w="4282"/>
      </w:tblGrid>
      <w:tr w:rsidR="00F35B34" w:rsidRPr="00F35B34" w14:paraId="7F5812CE" w14:textId="77777777" w:rsidTr="004E06BD">
        <w:trPr>
          <w:trHeight w:val="36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636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Цель инвестирования (стратегии)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9A7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Сохранение вложенных средств, при минимальных рисках</w:t>
            </w:r>
          </w:p>
        </w:tc>
      </w:tr>
      <w:tr w:rsidR="00F35B34" w:rsidRPr="00F35B34" w14:paraId="7F23AFA7" w14:textId="77777777" w:rsidTr="004E06BD">
        <w:trPr>
          <w:trHeight w:val="40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28D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8607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F35B34" w:rsidRPr="00F35B34" w14:paraId="215D0516" w14:textId="77777777" w:rsidTr="004E06BD">
        <w:trPr>
          <w:trHeight w:val="41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9647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Примерные среднемесячные доходы и расходы за последние 12 месяцев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D7F7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С доходами от 30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 xml:space="preserve">. и расходами до 30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>.</w:t>
            </w:r>
          </w:p>
        </w:tc>
      </w:tr>
      <w:tr w:rsidR="00F35B34" w:rsidRPr="00F35B34" w14:paraId="3E47080A" w14:textId="77777777" w:rsidTr="004E06BD">
        <w:trPr>
          <w:trHeight w:val="41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D51E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953F" w14:textId="77777777" w:rsidR="00115395" w:rsidRPr="00F35B34" w:rsidRDefault="00115395" w:rsidP="00115395">
            <w:pPr>
              <w:numPr>
                <w:ilvl w:val="0"/>
                <w:numId w:val="4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Денежные средства на счетах и во вкладах в российских кредитных организациях с рейтингом не ниже суверенного, сниженного на 3 ступени;</w:t>
            </w:r>
          </w:p>
          <w:p w14:paraId="7E4E784F" w14:textId="77777777" w:rsidR="00115395" w:rsidRPr="00F35B34" w:rsidRDefault="00115395" w:rsidP="00115395">
            <w:pPr>
              <w:numPr>
                <w:ilvl w:val="0"/>
                <w:numId w:val="4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Государственные ценные бумаги Российской Федерации или субъектов Российской Федерации;</w:t>
            </w:r>
          </w:p>
          <w:p w14:paraId="236A7A84" w14:textId="77777777" w:rsidR="00115395" w:rsidRPr="00F35B34" w:rsidRDefault="00115395" w:rsidP="00115395">
            <w:pPr>
              <w:numPr>
                <w:ilvl w:val="0"/>
                <w:numId w:val="4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Муниципальные облигации, выпущенные субъектами Российской Федерации;</w:t>
            </w:r>
          </w:p>
          <w:p w14:paraId="46EAF1B2" w14:textId="77777777" w:rsidR="00115395" w:rsidRPr="00F35B34" w:rsidRDefault="00115395" w:rsidP="00115395">
            <w:pPr>
              <w:numPr>
                <w:ilvl w:val="0"/>
                <w:numId w:val="4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Облигации российских эмитентов, имеющие рейтинг не ниже суверенного, сниженного на три ступени и сроком до погашения (оферты) до 2 лет.</w:t>
            </w:r>
          </w:p>
        </w:tc>
      </w:tr>
      <w:tr w:rsidR="00F35B34" w:rsidRPr="00F35B34" w14:paraId="5F32D0E3" w14:textId="77777777" w:rsidTr="004E06BD">
        <w:trPr>
          <w:trHeight w:val="414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152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F35B34" w:rsidRPr="00F35B34" w14:paraId="750BC2BE" w14:textId="77777777" w:rsidTr="004E06BD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619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Инвестиционный горизонт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6A8E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 год</w:t>
            </w:r>
          </w:p>
        </w:tc>
      </w:tr>
      <w:tr w:rsidR="00F35B34" w:rsidRPr="00F35B34" w14:paraId="6886897C" w14:textId="77777777" w:rsidTr="004E06BD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E836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Допустимый риск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3CC0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 10% вложенных средств</w:t>
            </w:r>
          </w:p>
        </w:tc>
      </w:tr>
      <w:tr w:rsidR="00F35B34" w:rsidRPr="00F35B34" w14:paraId="26CE223D" w14:textId="77777777" w:rsidTr="004E06BD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E14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Ожидаемая доходность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B8D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 10% годовых</w:t>
            </w:r>
          </w:p>
        </w:tc>
      </w:tr>
    </w:tbl>
    <w:p w14:paraId="4D04329C" w14:textId="77777777" w:rsidR="00115395" w:rsidRPr="00F35B34" w:rsidRDefault="00115395" w:rsidP="00115395">
      <w:pPr>
        <w:rPr>
          <w:rFonts w:ascii="Times New Roman" w:hAnsi="Times New Roman" w:cs="Times New Roman"/>
        </w:rPr>
      </w:pPr>
    </w:p>
    <w:p w14:paraId="35166A35" w14:textId="77777777" w:rsidR="00115395" w:rsidRPr="00F35B34" w:rsidRDefault="00115395" w:rsidP="004E06BD">
      <w:pPr>
        <w:spacing w:after="0"/>
        <w:ind w:left="-142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Инвестиционный горизонт</w:t>
      </w:r>
      <w:r w:rsidRPr="00F35B34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37F53D6F" w14:textId="77777777" w:rsidR="00115395" w:rsidRPr="00F35B34" w:rsidRDefault="00115395" w:rsidP="004E06BD">
      <w:pPr>
        <w:spacing w:after="0"/>
        <w:ind w:left="-142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Допустимый риск</w:t>
      </w:r>
      <w:r w:rsidRPr="00F35B34">
        <w:rPr>
          <w:rFonts w:ascii="Times New Roman" w:hAnsi="Times New Roman" w:cs="Times New Roman"/>
          <w:i/>
        </w:rPr>
        <w:t xml:space="preserve"> – это размер убытка, которую клиент в состоянии понести и при котором он может в дальнейшем осуществлять свою текущую деятельность и отвечать по своим обязательствам и (или) абсолютный размер убытка, который клиент считает допустимым в отношении своих активов.</w:t>
      </w:r>
    </w:p>
    <w:p w14:paraId="56429E6B" w14:textId="77777777" w:rsidR="00115395" w:rsidRPr="00F35B34" w:rsidRDefault="00115395" w:rsidP="004E06BD">
      <w:pPr>
        <w:spacing w:after="0"/>
        <w:ind w:left="-142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Ожидаемая доходность</w:t>
      </w:r>
      <w:r w:rsidRPr="00F35B34">
        <w:rPr>
          <w:rFonts w:ascii="Times New Roman" w:hAnsi="Times New Roman" w:cs="Times New Roman"/>
          <w:i/>
        </w:rPr>
        <w:t xml:space="preserve"> – доходность от доверительного управления, которую клиент может получить на инвестиционном горизонте.</w:t>
      </w:r>
    </w:p>
    <w:p w14:paraId="44BC2E0E" w14:textId="77777777" w:rsidR="00115395" w:rsidRPr="00F35B34" w:rsidRDefault="00115395" w:rsidP="00CF14B7">
      <w:pPr>
        <w:spacing w:after="0"/>
        <w:ind w:left="-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FB35898" w14:textId="7A9A75A9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2A0BF2C" w14:textId="3BD2A851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900125" w14:textId="480C7539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0F9F4E9" w14:textId="30354305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58EF63" w14:textId="5BE364D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292527" w14:textId="7E5AB395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Приложение №5 к Порядку определения инвестиционного профиля </w:t>
      </w:r>
    </w:p>
    <w:p w14:paraId="648303AF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11314B76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15A1A788" w14:textId="25DF9D12" w:rsidR="00115395" w:rsidRPr="00F35B34" w:rsidRDefault="0046174B" w:rsidP="00115395">
      <w:pPr>
        <w:jc w:val="right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5A4BA7C" w14:textId="77777777" w:rsidR="00115395" w:rsidRPr="00F35B34" w:rsidRDefault="00115395" w:rsidP="00115395">
      <w:pPr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Стандартная стратегия управления - «Оптимальная»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3856"/>
      </w:tblGrid>
      <w:tr w:rsidR="00F35B34" w:rsidRPr="00F35B34" w14:paraId="2A22BC28" w14:textId="77777777" w:rsidTr="00CF14B7">
        <w:trPr>
          <w:trHeight w:val="365"/>
        </w:trPr>
        <w:tc>
          <w:tcPr>
            <w:tcW w:w="5500" w:type="dxa"/>
            <w:shd w:val="clear" w:color="auto" w:fill="auto"/>
            <w:vAlign w:val="center"/>
            <w:hideMark/>
          </w:tcPr>
          <w:p w14:paraId="4B931C16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Цель инвестирования (стратегии)</w:t>
            </w: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65A94757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Получение дохода выше, чем депозит в банке, готовность к несущественным рискам</w:t>
            </w:r>
          </w:p>
        </w:tc>
      </w:tr>
      <w:tr w:rsidR="00F35B34" w:rsidRPr="00F35B34" w14:paraId="3CA708EF" w14:textId="77777777" w:rsidTr="00CF14B7">
        <w:trPr>
          <w:trHeight w:val="407"/>
        </w:trPr>
        <w:tc>
          <w:tcPr>
            <w:tcW w:w="5500" w:type="dxa"/>
            <w:shd w:val="clear" w:color="auto" w:fill="auto"/>
            <w:vAlign w:val="center"/>
            <w:hideMark/>
          </w:tcPr>
          <w:p w14:paraId="1199256C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3B3D6060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F35B34" w:rsidRPr="00F35B34" w14:paraId="6C020DB7" w14:textId="77777777" w:rsidTr="00CF14B7">
        <w:trPr>
          <w:trHeight w:val="414"/>
        </w:trPr>
        <w:tc>
          <w:tcPr>
            <w:tcW w:w="5500" w:type="dxa"/>
            <w:shd w:val="clear" w:color="auto" w:fill="auto"/>
            <w:vAlign w:val="center"/>
          </w:tcPr>
          <w:p w14:paraId="6F0E8C4B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Примерные среднемесячные доходы и расходы за последние 12 месяцев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1C29006D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С доходами от 50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 xml:space="preserve">. и расходами до 30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>.</w:t>
            </w:r>
          </w:p>
        </w:tc>
      </w:tr>
      <w:tr w:rsidR="00F35B34" w:rsidRPr="00F35B34" w14:paraId="65D7B875" w14:textId="77777777" w:rsidTr="00CF14B7">
        <w:trPr>
          <w:trHeight w:val="414"/>
        </w:trPr>
        <w:tc>
          <w:tcPr>
            <w:tcW w:w="5500" w:type="dxa"/>
            <w:shd w:val="clear" w:color="auto" w:fill="auto"/>
            <w:vAlign w:val="center"/>
          </w:tcPr>
          <w:p w14:paraId="25D5278F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7D5B5902" w14:textId="77777777" w:rsidR="00115395" w:rsidRPr="00F35B34" w:rsidRDefault="00115395" w:rsidP="00115395">
            <w:pPr>
              <w:numPr>
                <w:ilvl w:val="0"/>
                <w:numId w:val="5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Активы, допустимые при «низком» уровне допустимого риска;</w:t>
            </w:r>
          </w:p>
          <w:p w14:paraId="3472AD8B" w14:textId="77777777" w:rsidR="00115395" w:rsidRPr="00F35B34" w:rsidRDefault="00115395" w:rsidP="00115395">
            <w:pPr>
              <w:numPr>
                <w:ilvl w:val="0"/>
                <w:numId w:val="5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Инвестиционные паи открытых и интервальных паевых инвестиционных фондов;</w:t>
            </w:r>
          </w:p>
          <w:p w14:paraId="2E78853D" w14:textId="77777777" w:rsidR="00115395" w:rsidRPr="00F35B34" w:rsidRDefault="00115395" w:rsidP="00115395">
            <w:pPr>
              <w:numPr>
                <w:ilvl w:val="0"/>
                <w:numId w:val="5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Иные облигации российских эмитентов;</w:t>
            </w:r>
          </w:p>
          <w:p w14:paraId="609C4389" w14:textId="77777777" w:rsidR="00115395" w:rsidRPr="00F35B34" w:rsidRDefault="00115395" w:rsidP="00115395">
            <w:pPr>
              <w:numPr>
                <w:ilvl w:val="0"/>
                <w:numId w:val="5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Акции российских эмитентов, торгуемых и обращаемых на Московской бирже.</w:t>
            </w:r>
          </w:p>
        </w:tc>
      </w:tr>
      <w:tr w:rsidR="00F35B34" w:rsidRPr="00F35B34" w14:paraId="7B56D793" w14:textId="77777777" w:rsidTr="00CF14B7">
        <w:trPr>
          <w:trHeight w:val="41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FCC4A9B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F35B34" w:rsidRPr="00F35B34" w14:paraId="16E5A75C" w14:textId="77777777" w:rsidTr="00CF14B7">
        <w:trPr>
          <w:trHeight w:val="334"/>
        </w:trPr>
        <w:tc>
          <w:tcPr>
            <w:tcW w:w="5500" w:type="dxa"/>
            <w:shd w:val="clear" w:color="auto" w:fill="auto"/>
            <w:vAlign w:val="center"/>
          </w:tcPr>
          <w:p w14:paraId="4D99163E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Инвестиционный горизонт</w:t>
            </w: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14:paraId="04F71B79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 год</w:t>
            </w:r>
          </w:p>
        </w:tc>
      </w:tr>
      <w:tr w:rsidR="00F35B34" w:rsidRPr="00F35B34" w14:paraId="6D3D61AD" w14:textId="77777777" w:rsidTr="00CF14B7">
        <w:trPr>
          <w:trHeight w:val="334"/>
        </w:trPr>
        <w:tc>
          <w:tcPr>
            <w:tcW w:w="5500" w:type="dxa"/>
            <w:shd w:val="clear" w:color="auto" w:fill="auto"/>
            <w:vAlign w:val="center"/>
            <w:hideMark/>
          </w:tcPr>
          <w:p w14:paraId="035222F5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Допустимый риск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14:paraId="0113BCC4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 20% вложенных средств</w:t>
            </w:r>
          </w:p>
        </w:tc>
      </w:tr>
      <w:tr w:rsidR="00F35B34" w:rsidRPr="00F35B34" w14:paraId="5582CCBC" w14:textId="77777777" w:rsidTr="00CF14B7">
        <w:trPr>
          <w:trHeight w:val="334"/>
        </w:trPr>
        <w:tc>
          <w:tcPr>
            <w:tcW w:w="5500" w:type="dxa"/>
            <w:shd w:val="clear" w:color="auto" w:fill="auto"/>
            <w:vAlign w:val="center"/>
            <w:hideMark/>
          </w:tcPr>
          <w:p w14:paraId="66D91CB4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Ожидаемая доходность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14:paraId="322F23F2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 30% годовых</w:t>
            </w:r>
          </w:p>
        </w:tc>
      </w:tr>
    </w:tbl>
    <w:p w14:paraId="15F52FA0" w14:textId="77777777" w:rsidR="00115395" w:rsidRPr="00F35B34" w:rsidRDefault="00115395" w:rsidP="00115395">
      <w:pPr>
        <w:rPr>
          <w:rFonts w:ascii="Times New Roman" w:hAnsi="Times New Roman" w:cs="Times New Roman"/>
        </w:rPr>
      </w:pPr>
    </w:p>
    <w:p w14:paraId="7A30D31B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Инвестиционный горизонт</w:t>
      </w:r>
      <w:r w:rsidRPr="00F35B34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3E1FA5AD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Допустимый риск</w:t>
      </w:r>
      <w:r w:rsidRPr="00F35B34">
        <w:rPr>
          <w:rFonts w:ascii="Times New Roman" w:hAnsi="Times New Roman" w:cs="Times New Roman"/>
          <w:i/>
        </w:rPr>
        <w:t xml:space="preserve"> – это размер убытка, которую клиент в состоянии понести и при котором он может в дальнейшем осуществлять свою текущую деятельность и отвечать по своим обязательствам и (или) абсолютный размер убытка, который клиент считает допустимым в отношении своих активов.</w:t>
      </w:r>
    </w:p>
    <w:p w14:paraId="5F23A2DB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Ожидаемая доходность</w:t>
      </w:r>
      <w:r w:rsidRPr="00F35B34">
        <w:rPr>
          <w:rFonts w:ascii="Times New Roman" w:hAnsi="Times New Roman" w:cs="Times New Roman"/>
          <w:i/>
        </w:rPr>
        <w:t xml:space="preserve"> – доходность от доверительного управления, которую клиент может получить на инвестиционном горизонте.</w:t>
      </w:r>
    </w:p>
    <w:p w14:paraId="093F452A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541FDE7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11E15FF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1177369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6FDEF84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84EC3EE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F889CC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6CBF9B" w14:textId="7EFBE0E4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93B52E0" w14:textId="57E69C59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Приложение №6 к Порядку определения инвестиционного профиля </w:t>
      </w:r>
    </w:p>
    <w:p w14:paraId="53E750B6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6C104130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6B6F7F20" w14:textId="315E45F1" w:rsidR="00115395" w:rsidRPr="00F35B34" w:rsidRDefault="0046174B" w:rsidP="00115395">
      <w:pPr>
        <w:jc w:val="right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F6CCC23" w14:textId="77777777" w:rsidR="00115395" w:rsidRPr="00F35B34" w:rsidRDefault="00115395" w:rsidP="00115395">
      <w:pPr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Стандартная стратегия управления - «Агрессивная»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500"/>
        <w:gridCol w:w="3998"/>
      </w:tblGrid>
      <w:tr w:rsidR="00F35B34" w:rsidRPr="00F35B34" w14:paraId="2F9A7803" w14:textId="77777777" w:rsidTr="00CF14B7">
        <w:trPr>
          <w:trHeight w:val="36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2890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Цель инвестирования (стратегии)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11F3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Получение максимальных доходов, при существенных рисках</w:t>
            </w:r>
          </w:p>
        </w:tc>
      </w:tr>
      <w:tr w:rsidR="00F35B34" w:rsidRPr="00F35B34" w14:paraId="3FB7B3D7" w14:textId="77777777" w:rsidTr="00CF14B7">
        <w:trPr>
          <w:trHeight w:val="40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1AC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Предполагаемый возраст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15E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Для инвесторов старше 18 лет и моложе 65 лет</w:t>
            </w:r>
          </w:p>
        </w:tc>
      </w:tr>
      <w:tr w:rsidR="00F35B34" w:rsidRPr="00F35B34" w14:paraId="35DB8263" w14:textId="77777777" w:rsidTr="00CF14B7">
        <w:trPr>
          <w:trHeight w:val="41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2024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Примерные среднемесячные доходы и расходы за последние 12 месяцев физического лица, которому может предлагаться данная стандартная стратегия управления (только для физических лиц)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12B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 xml:space="preserve">С доходами от 100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 xml:space="preserve">. и расходами до 50 </w:t>
            </w:r>
            <w:proofErr w:type="spellStart"/>
            <w:r w:rsidRPr="00F35B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35B34">
              <w:rPr>
                <w:rFonts w:ascii="Times New Roman" w:hAnsi="Times New Roman" w:cs="Times New Roman"/>
              </w:rPr>
              <w:t>.</w:t>
            </w:r>
          </w:p>
        </w:tc>
      </w:tr>
      <w:tr w:rsidR="00F35B34" w:rsidRPr="00F35B34" w14:paraId="0E5BE07C" w14:textId="77777777" w:rsidTr="00CF14B7">
        <w:trPr>
          <w:trHeight w:val="41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DBCB" w14:textId="77777777" w:rsidR="00115395" w:rsidRPr="00F35B34" w:rsidRDefault="00115395" w:rsidP="00115395">
            <w:pPr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Перечень финансовых инструментов, в которые могут быть вложены средства клиента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CDB1" w14:textId="77777777" w:rsidR="00115395" w:rsidRPr="00F35B34" w:rsidRDefault="00115395" w:rsidP="00115395">
            <w:pPr>
              <w:numPr>
                <w:ilvl w:val="0"/>
                <w:numId w:val="6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Активы, допустимые при «низком» и «среднем» уровне допустимого риска;</w:t>
            </w:r>
          </w:p>
          <w:p w14:paraId="6378DC0F" w14:textId="77777777" w:rsidR="00115395" w:rsidRPr="00F35B34" w:rsidRDefault="00115395" w:rsidP="00115395">
            <w:pPr>
              <w:numPr>
                <w:ilvl w:val="0"/>
                <w:numId w:val="6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Инвестиционные паи закрытых паевых инвестиционных фондов;</w:t>
            </w:r>
          </w:p>
          <w:p w14:paraId="2E9F26B5" w14:textId="77777777" w:rsidR="00115395" w:rsidRPr="00F35B34" w:rsidRDefault="00115395" w:rsidP="00115395">
            <w:pPr>
              <w:numPr>
                <w:ilvl w:val="0"/>
                <w:numId w:val="6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Иные акции;</w:t>
            </w:r>
          </w:p>
          <w:p w14:paraId="2A9CBFE0" w14:textId="77777777" w:rsidR="00115395" w:rsidRPr="00F35B34" w:rsidRDefault="00115395" w:rsidP="00115395">
            <w:pPr>
              <w:numPr>
                <w:ilvl w:val="0"/>
                <w:numId w:val="6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Ипотечные сертификаты участия;</w:t>
            </w:r>
          </w:p>
          <w:p w14:paraId="5A79D136" w14:textId="77777777" w:rsidR="00115395" w:rsidRPr="00F35B34" w:rsidRDefault="00115395" w:rsidP="00115395">
            <w:pPr>
              <w:numPr>
                <w:ilvl w:val="0"/>
                <w:numId w:val="6"/>
              </w:numPr>
              <w:ind w:left="0" w:firstLine="338"/>
              <w:jc w:val="both"/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Производные финансовые инструменты.</w:t>
            </w:r>
          </w:p>
        </w:tc>
      </w:tr>
      <w:tr w:rsidR="00F35B34" w:rsidRPr="00F35B34" w14:paraId="52EAC2C9" w14:textId="77777777" w:rsidTr="00CF14B7">
        <w:trPr>
          <w:trHeight w:val="414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CAE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Стандартный инвестиционный профиль клиента</w:t>
            </w:r>
          </w:p>
        </w:tc>
      </w:tr>
      <w:tr w:rsidR="00F35B34" w:rsidRPr="00F35B34" w14:paraId="2B15E1CC" w14:textId="77777777" w:rsidTr="00CF14B7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15D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Инвестиционный горизонт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62F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1 год</w:t>
            </w:r>
          </w:p>
        </w:tc>
      </w:tr>
      <w:tr w:rsidR="00F35B34" w:rsidRPr="00F35B34" w14:paraId="0CFDA08D" w14:textId="77777777" w:rsidTr="00CF14B7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5D9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Допустимый риск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C4ED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до 30% вложенных средств</w:t>
            </w:r>
          </w:p>
        </w:tc>
      </w:tr>
      <w:tr w:rsidR="00F35B34" w:rsidRPr="00F35B34" w14:paraId="252AF62D" w14:textId="77777777" w:rsidTr="00CF14B7">
        <w:trPr>
          <w:trHeight w:val="3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81A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Ожидаемая доходность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734" w14:textId="77777777" w:rsidR="00115395" w:rsidRPr="00F35B34" w:rsidRDefault="00115395" w:rsidP="00115395">
            <w:pPr>
              <w:rPr>
                <w:rFonts w:ascii="Times New Roman" w:hAnsi="Times New Roman" w:cs="Times New Roman"/>
              </w:rPr>
            </w:pPr>
            <w:r w:rsidRPr="00F35B34">
              <w:rPr>
                <w:rFonts w:ascii="Times New Roman" w:hAnsi="Times New Roman" w:cs="Times New Roman"/>
              </w:rPr>
              <w:t>свыше 30% годовых</w:t>
            </w:r>
          </w:p>
        </w:tc>
      </w:tr>
    </w:tbl>
    <w:p w14:paraId="7C32DF7B" w14:textId="77777777" w:rsidR="00115395" w:rsidRPr="00F35B34" w:rsidRDefault="00115395" w:rsidP="00115395">
      <w:pPr>
        <w:rPr>
          <w:rFonts w:ascii="Times New Roman" w:hAnsi="Times New Roman" w:cs="Times New Roman"/>
        </w:rPr>
      </w:pPr>
    </w:p>
    <w:p w14:paraId="46B4684C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Инвестиционный горизонт</w:t>
      </w:r>
      <w:r w:rsidRPr="00F35B34">
        <w:rPr>
          <w:rFonts w:ascii="Times New Roman" w:hAnsi="Times New Roman" w:cs="Times New Roman"/>
          <w:i/>
        </w:rPr>
        <w:t xml:space="preserve"> – период времени, за который предполагается получить ожидаемую доходность при указанном допустимом риске.</w:t>
      </w:r>
    </w:p>
    <w:p w14:paraId="1211F3C5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Допустимый риск</w:t>
      </w:r>
      <w:r w:rsidRPr="00F35B34">
        <w:rPr>
          <w:rFonts w:ascii="Times New Roman" w:hAnsi="Times New Roman" w:cs="Times New Roman"/>
          <w:i/>
        </w:rPr>
        <w:t xml:space="preserve"> – это размер убытка, которую клиент в состоянии понести и при котором он может в дальнейшем осуществлять свою текущую деятельность и отвечать по своим обязательствам и (или) абсолютный размер убытка, который клиент считает допустимым в отношении своих активов.</w:t>
      </w:r>
    </w:p>
    <w:p w14:paraId="55C17CF8" w14:textId="77777777" w:rsidR="00115395" w:rsidRPr="00F35B34" w:rsidRDefault="00115395" w:rsidP="00CF14B7">
      <w:pPr>
        <w:spacing w:after="0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b/>
          <w:i/>
        </w:rPr>
        <w:t>Ожидаемая доходность</w:t>
      </w:r>
      <w:r w:rsidRPr="00F35B34">
        <w:rPr>
          <w:rFonts w:ascii="Times New Roman" w:hAnsi="Times New Roman" w:cs="Times New Roman"/>
          <w:i/>
        </w:rPr>
        <w:t xml:space="preserve"> – доходность от доверительного управления, которую клиент может получить на инвестиционном горизонте.</w:t>
      </w:r>
    </w:p>
    <w:p w14:paraId="3DDDB408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5FFD7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14F1712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56625EA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720BBAD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20A69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4A2BB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D6D5229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F70D5CD" w14:textId="06C6FBA2" w:rsidR="008C3DF3" w:rsidRPr="00F35B34" w:rsidRDefault="008C3DF3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2788796" w14:textId="3E5CA34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Приложение №7 к Порядку определения инвестиционного профиля </w:t>
      </w:r>
    </w:p>
    <w:p w14:paraId="24F6634E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клиента при осуществлении доверительного управления</w:t>
      </w:r>
    </w:p>
    <w:p w14:paraId="1B4C6AB3" w14:textId="77777777" w:rsidR="00115395" w:rsidRPr="00F35B34" w:rsidRDefault="00115395" w:rsidP="0011539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>в АКБ «Алмазэргиэнбанк» АО №616-ПД</w:t>
      </w:r>
    </w:p>
    <w:p w14:paraId="18EE8A1E" w14:textId="16F21C99" w:rsidR="00115395" w:rsidRPr="00F35B34" w:rsidRDefault="0046174B" w:rsidP="00115395">
      <w:pPr>
        <w:jc w:val="right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2355B92" w14:textId="77777777" w:rsidR="00115395" w:rsidRPr="00F35B34" w:rsidRDefault="00115395" w:rsidP="00B74D21">
      <w:pPr>
        <w:jc w:val="center"/>
        <w:rPr>
          <w:rFonts w:ascii="Times New Roman" w:hAnsi="Times New Roman" w:cs="Times New Roman"/>
          <w:b/>
          <w:i/>
        </w:rPr>
      </w:pPr>
      <w:r w:rsidRPr="00F35B34">
        <w:rPr>
          <w:rFonts w:ascii="Times New Roman" w:hAnsi="Times New Roman" w:cs="Times New Roman"/>
          <w:b/>
          <w:i/>
        </w:rPr>
        <w:t>Сообщение о присвоении инвестиционного профиля</w:t>
      </w:r>
    </w:p>
    <w:p w14:paraId="2406AC22" w14:textId="77777777" w:rsidR="00115395" w:rsidRPr="00F35B34" w:rsidRDefault="00115395" w:rsidP="00115395">
      <w:pPr>
        <w:rPr>
          <w:rFonts w:ascii="Times New Roman" w:hAnsi="Times New Roman" w:cs="Times New Roman"/>
        </w:rPr>
      </w:pPr>
    </w:p>
    <w:p w14:paraId="2F0661C1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Кому: [Фамилия Имя Отчество физического лица или наименование юридического лица].</w:t>
      </w:r>
    </w:p>
    <w:p w14:paraId="22E0F4F1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АКБ «Алмазэргиэнбанк» АО (далее –  Банк) уведомляет Вас о присвоении Вам следующего инвестиционного профиля в соответствии с Положением Центрального Банка Российской Федерации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управляющего»:</w:t>
      </w:r>
    </w:p>
    <w:p w14:paraId="2B21947F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Инвестиционный горизонт: ___________.</w:t>
      </w:r>
    </w:p>
    <w:p w14:paraId="424AA8E6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Допустимый риск: ___________.</w:t>
      </w:r>
    </w:p>
    <w:p w14:paraId="453E5473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Описание допустимого риска: ___________.</w:t>
      </w:r>
    </w:p>
    <w:p w14:paraId="033A91E7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Ожидаемая доходность: ___________.</w:t>
      </w:r>
    </w:p>
    <w:p w14:paraId="78FC0163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Указанный выше инвестиционный профиль присвоен Вам в связи с:</w:t>
      </w:r>
    </w:p>
    <w:p w14:paraId="76CE3531" w14:textId="77777777" w:rsidR="00115395" w:rsidRPr="00F35B34" w:rsidRDefault="00115395" w:rsidP="00B74D21">
      <w:pPr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заключением с Вами договора доверительного управления № _____________,</w:t>
      </w:r>
    </w:p>
    <w:p w14:paraId="5FDB7DE1" w14:textId="77777777" w:rsidR="00115395" w:rsidRPr="00F35B34" w:rsidRDefault="00115395" w:rsidP="00B74D21">
      <w:pPr>
        <w:numPr>
          <w:ilvl w:val="0"/>
          <w:numId w:val="7"/>
        </w:numPr>
        <w:ind w:left="709" w:firstLine="0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изменением инвестиционного профиля, присвоенного Вам при заключении договора доверительного управления № _________.</w:t>
      </w:r>
    </w:p>
    <w:p w14:paraId="0278FBEE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  <w:i/>
        </w:rPr>
      </w:pPr>
      <w:r w:rsidRPr="00F35B34">
        <w:rPr>
          <w:rFonts w:ascii="Times New Roman" w:hAnsi="Times New Roman" w:cs="Times New Roman"/>
          <w:i/>
        </w:rPr>
        <w:t>Обращаем Ваше внимание на то, что указание при присвоении инвестиционного профиля на ожидаемую доходность не накладывает на Компанию обязанность по её достижению, а описание допустимого риска определяют перечень подходящих Вашему инвестиционному профилю финансовых инструментов и не содержит гарантии того, что реальные потери при вложении денежных средств в эти инструменты не могут быть выше описанных.</w:t>
      </w:r>
    </w:p>
    <w:p w14:paraId="76658F1B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УПОЛНОМОЧЕННОЕ ЛИЦО БАНКА:</w:t>
      </w:r>
    </w:p>
    <w:p w14:paraId="3130011D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Подпись: _________________</w:t>
      </w:r>
    </w:p>
    <w:p w14:paraId="19A77B25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Ф.И.О.:    __________________________</w:t>
      </w:r>
    </w:p>
    <w:p w14:paraId="492C0A77" w14:textId="73E4E3B9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>Д</w:t>
      </w:r>
      <w:r w:rsidR="00B74D21" w:rsidRPr="00F35B34">
        <w:rPr>
          <w:rFonts w:ascii="Times New Roman" w:hAnsi="Times New Roman" w:cs="Times New Roman"/>
        </w:rPr>
        <w:t xml:space="preserve">ата: </w:t>
      </w:r>
      <w:proofErr w:type="gramStart"/>
      <w:r w:rsidR="00B74D21" w:rsidRPr="00F35B34">
        <w:rPr>
          <w:rFonts w:ascii="Times New Roman" w:hAnsi="Times New Roman" w:cs="Times New Roman"/>
        </w:rPr>
        <w:t xml:space="preserve">«  </w:t>
      </w:r>
      <w:proofErr w:type="gramEnd"/>
      <w:r w:rsidR="00B74D21" w:rsidRPr="00F35B34">
        <w:rPr>
          <w:rFonts w:ascii="Times New Roman" w:hAnsi="Times New Roman" w:cs="Times New Roman"/>
        </w:rPr>
        <w:t xml:space="preserve">        »            20</w:t>
      </w:r>
      <w:r w:rsidRPr="00F35B34">
        <w:rPr>
          <w:rFonts w:ascii="Times New Roman" w:hAnsi="Times New Roman" w:cs="Times New Roman"/>
        </w:rPr>
        <w:t xml:space="preserve">           года</w:t>
      </w:r>
    </w:p>
    <w:p w14:paraId="399A50C5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  <w:b/>
        </w:rPr>
      </w:pPr>
      <w:r w:rsidRPr="00F35B34">
        <w:rPr>
          <w:rFonts w:ascii="Times New Roman" w:hAnsi="Times New Roman" w:cs="Times New Roman"/>
          <w:b/>
        </w:rPr>
        <w:t>С УКАЗАННЫМ ВЫШЕ ИНВЕСТИЦИОННЫМ ПРОФИЛЕМ СОГЛАСЕН:</w:t>
      </w:r>
    </w:p>
    <w:p w14:paraId="701971BA" w14:textId="77777777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ФИО (наименование </w:t>
      </w:r>
      <w:proofErr w:type="spellStart"/>
      <w:proofErr w:type="gramStart"/>
      <w:r w:rsidRPr="00F35B34">
        <w:rPr>
          <w:rFonts w:ascii="Times New Roman" w:hAnsi="Times New Roman" w:cs="Times New Roman"/>
        </w:rPr>
        <w:t>юр.лица</w:t>
      </w:r>
      <w:proofErr w:type="spellEnd"/>
      <w:proofErr w:type="gramEnd"/>
      <w:r w:rsidRPr="00F35B34">
        <w:rPr>
          <w:rFonts w:ascii="Times New Roman" w:hAnsi="Times New Roman" w:cs="Times New Roman"/>
        </w:rPr>
        <w:t xml:space="preserve"> и ФИО действующего от его имени):  _________________</w:t>
      </w:r>
    </w:p>
    <w:p w14:paraId="1B2CD672" w14:textId="7A16B141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F35B34">
        <w:rPr>
          <w:rFonts w:ascii="Times New Roman" w:hAnsi="Times New Roman" w:cs="Times New Roman"/>
        </w:rPr>
        <w:t>Подпись:_</w:t>
      </w:r>
      <w:proofErr w:type="gramEnd"/>
      <w:r w:rsidRPr="00F35B34">
        <w:rPr>
          <w:rFonts w:ascii="Times New Roman" w:hAnsi="Times New Roman" w:cs="Times New Roman"/>
        </w:rPr>
        <w:t>________________</w:t>
      </w:r>
    </w:p>
    <w:p w14:paraId="539B0ABD" w14:textId="77777777" w:rsidR="00B74D21" w:rsidRPr="00F35B34" w:rsidRDefault="00B74D21" w:rsidP="00B74D21">
      <w:pPr>
        <w:ind w:firstLine="426"/>
        <w:jc w:val="both"/>
        <w:rPr>
          <w:rFonts w:ascii="Times New Roman" w:hAnsi="Times New Roman" w:cs="Times New Roman"/>
        </w:rPr>
      </w:pPr>
    </w:p>
    <w:p w14:paraId="222BA038" w14:textId="15A64CB9" w:rsidR="00115395" w:rsidRPr="00F35B34" w:rsidRDefault="00115395" w:rsidP="00B74D21">
      <w:pPr>
        <w:ind w:firstLine="426"/>
        <w:jc w:val="both"/>
        <w:rPr>
          <w:rFonts w:ascii="Times New Roman" w:hAnsi="Times New Roman" w:cs="Times New Roman"/>
        </w:rPr>
      </w:pPr>
      <w:r w:rsidRPr="00F35B34">
        <w:rPr>
          <w:rFonts w:ascii="Times New Roman" w:hAnsi="Times New Roman" w:cs="Times New Roman"/>
        </w:rPr>
        <w:t xml:space="preserve">Дата: </w:t>
      </w:r>
      <w:proofErr w:type="gramStart"/>
      <w:r w:rsidRPr="00F35B34">
        <w:rPr>
          <w:rFonts w:ascii="Times New Roman" w:hAnsi="Times New Roman" w:cs="Times New Roman"/>
        </w:rPr>
        <w:t xml:space="preserve">«  </w:t>
      </w:r>
      <w:proofErr w:type="gramEnd"/>
      <w:r w:rsidRPr="00F35B34">
        <w:rPr>
          <w:rFonts w:ascii="Times New Roman" w:hAnsi="Times New Roman" w:cs="Times New Roman"/>
        </w:rPr>
        <w:t xml:space="preserve">        »            20           года</w:t>
      </w:r>
    </w:p>
    <w:p w14:paraId="3FF56272" w14:textId="77777777" w:rsidR="00894B32" w:rsidRPr="00F35B34" w:rsidRDefault="00894B32" w:rsidP="006320F5">
      <w:pPr>
        <w:rPr>
          <w:rFonts w:ascii="Times New Roman" w:hAnsi="Times New Roman" w:cs="Times New Roman"/>
        </w:rPr>
      </w:pPr>
    </w:p>
    <w:sectPr w:rsidR="00894B32" w:rsidRPr="00F35B34" w:rsidSect="00404011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6FB2" w14:textId="77777777" w:rsidR="00585CFD" w:rsidRDefault="00585CFD" w:rsidP="00404011">
      <w:pPr>
        <w:spacing w:after="0" w:line="240" w:lineRule="auto"/>
      </w:pPr>
      <w:r>
        <w:separator/>
      </w:r>
    </w:p>
  </w:endnote>
  <w:endnote w:type="continuationSeparator" w:id="0">
    <w:p w14:paraId="5A9188AC" w14:textId="77777777" w:rsidR="00585CFD" w:rsidRDefault="00585CFD" w:rsidP="004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66241"/>
      <w:docPartObj>
        <w:docPartGallery w:val="Page Numbers (Bottom of Page)"/>
        <w:docPartUnique/>
      </w:docPartObj>
    </w:sdtPr>
    <w:sdtEndPr/>
    <w:sdtContent>
      <w:p w14:paraId="08451C39" w14:textId="03367311" w:rsidR="00404011" w:rsidRDefault="0040401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51">
          <w:rPr>
            <w:noProof/>
          </w:rPr>
          <w:t>17</w:t>
        </w:r>
        <w:r>
          <w:fldChar w:fldCharType="end"/>
        </w:r>
      </w:p>
    </w:sdtContent>
  </w:sdt>
  <w:p w14:paraId="1F625272" w14:textId="77777777" w:rsidR="00404011" w:rsidRDefault="00404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2675" w14:textId="77777777" w:rsidR="00585CFD" w:rsidRDefault="00585CFD" w:rsidP="00404011">
      <w:pPr>
        <w:spacing w:after="0" w:line="240" w:lineRule="auto"/>
      </w:pPr>
      <w:r>
        <w:separator/>
      </w:r>
    </w:p>
  </w:footnote>
  <w:footnote w:type="continuationSeparator" w:id="0">
    <w:p w14:paraId="3D0DAEBD" w14:textId="77777777" w:rsidR="00585CFD" w:rsidRDefault="00585CFD" w:rsidP="0040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97E"/>
    <w:multiLevelType w:val="hybridMultilevel"/>
    <w:tmpl w:val="717E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F97"/>
    <w:multiLevelType w:val="multilevel"/>
    <w:tmpl w:val="38929CD6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1F0017B"/>
    <w:multiLevelType w:val="hybridMultilevel"/>
    <w:tmpl w:val="FDB23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40510F"/>
    <w:multiLevelType w:val="hybridMultilevel"/>
    <w:tmpl w:val="D6726FBA"/>
    <w:lvl w:ilvl="0" w:tplc="2D7EB4C6">
      <w:start w:val="5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512C71"/>
    <w:multiLevelType w:val="hybridMultilevel"/>
    <w:tmpl w:val="5E6E3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5949"/>
    <w:multiLevelType w:val="hybridMultilevel"/>
    <w:tmpl w:val="2382860C"/>
    <w:lvl w:ilvl="0" w:tplc="E676DC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E00CFB"/>
    <w:multiLevelType w:val="hybridMultilevel"/>
    <w:tmpl w:val="111E024C"/>
    <w:lvl w:ilvl="0" w:tplc="EE002F6E">
      <w:start w:val="2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3E784C"/>
    <w:multiLevelType w:val="hybridMultilevel"/>
    <w:tmpl w:val="E02C9C52"/>
    <w:lvl w:ilvl="0" w:tplc="7ACA30C8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DA50B6"/>
    <w:multiLevelType w:val="hybridMultilevel"/>
    <w:tmpl w:val="2688BD22"/>
    <w:lvl w:ilvl="0" w:tplc="4100FB42">
      <w:start w:val="5"/>
      <w:numFmt w:val="decimal"/>
      <w:lvlText w:val="6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510904"/>
    <w:multiLevelType w:val="hybridMultilevel"/>
    <w:tmpl w:val="431A8EEC"/>
    <w:lvl w:ilvl="0" w:tplc="8D7087AA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5F22B05"/>
    <w:multiLevelType w:val="hybridMultilevel"/>
    <w:tmpl w:val="10946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6CC445A"/>
    <w:multiLevelType w:val="hybridMultilevel"/>
    <w:tmpl w:val="05AA9912"/>
    <w:lvl w:ilvl="0" w:tplc="1D7EB64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DEF"/>
    <w:multiLevelType w:val="hybridMultilevel"/>
    <w:tmpl w:val="0E5C438C"/>
    <w:lvl w:ilvl="0" w:tplc="A00C8A9A">
      <w:start w:val="5"/>
      <w:numFmt w:val="decimal"/>
      <w:lvlText w:val="6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BB7298"/>
    <w:multiLevelType w:val="hybridMultilevel"/>
    <w:tmpl w:val="CAB2B930"/>
    <w:lvl w:ilvl="0" w:tplc="D6D0777A">
      <w:start w:val="1"/>
      <w:numFmt w:val="decimal"/>
      <w:lvlText w:val="2.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B620F"/>
    <w:multiLevelType w:val="multilevel"/>
    <w:tmpl w:val="B1905B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133518A"/>
    <w:multiLevelType w:val="hybridMultilevel"/>
    <w:tmpl w:val="D9924960"/>
    <w:lvl w:ilvl="0" w:tplc="C30C35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7F0F"/>
    <w:multiLevelType w:val="hybridMultilevel"/>
    <w:tmpl w:val="560EEF32"/>
    <w:lvl w:ilvl="0" w:tplc="2D7EB4C6">
      <w:start w:val="5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A345BD"/>
    <w:multiLevelType w:val="hybridMultilevel"/>
    <w:tmpl w:val="5EC889C0"/>
    <w:lvl w:ilvl="0" w:tplc="8D7087AA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540E87"/>
    <w:multiLevelType w:val="hybridMultilevel"/>
    <w:tmpl w:val="09AEB8DE"/>
    <w:lvl w:ilvl="0" w:tplc="4100FB42">
      <w:start w:val="5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20AE5"/>
    <w:multiLevelType w:val="multilevel"/>
    <w:tmpl w:val="2F8A10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B8253A"/>
    <w:multiLevelType w:val="hybridMultilevel"/>
    <w:tmpl w:val="A2F2BB14"/>
    <w:lvl w:ilvl="0" w:tplc="C7D008C0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992B93"/>
    <w:multiLevelType w:val="hybridMultilevel"/>
    <w:tmpl w:val="244CBBAC"/>
    <w:lvl w:ilvl="0" w:tplc="C2C45F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A17772"/>
    <w:multiLevelType w:val="hybridMultilevel"/>
    <w:tmpl w:val="256E5A9A"/>
    <w:lvl w:ilvl="0" w:tplc="D664579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901AE5"/>
    <w:multiLevelType w:val="hybridMultilevel"/>
    <w:tmpl w:val="F9F6DF04"/>
    <w:lvl w:ilvl="0" w:tplc="7B90B2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C25200"/>
    <w:multiLevelType w:val="hybridMultilevel"/>
    <w:tmpl w:val="26D63FA4"/>
    <w:lvl w:ilvl="0" w:tplc="D664579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5123F0"/>
    <w:multiLevelType w:val="hybridMultilevel"/>
    <w:tmpl w:val="B9FC7680"/>
    <w:lvl w:ilvl="0" w:tplc="2D7EB4C6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D2AEB"/>
    <w:multiLevelType w:val="hybridMultilevel"/>
    <w:tmpl w:val="831C431E"/>
    <w:lvl w:ilvl="0" w:tplc="8D7087A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446F2"/>
    <w:multiLevelType w:val="hybridMultilevel"/>
    <w:tmpl w:val="E2CE84DE"/>
    <w:lvl w:ilvl="0" w:tplc="7C1017FC">
      <w:start w:val="1"/>
      <w:numFmt w:val="decimal"/>
      <w:lvlText w:val="5.2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62713E"/>
    <w:multiLevelType w:val="hybridMultilevel"/>
    <w:tmpl w:val="9F90C048"/>
    <w:lvl w:ilvl="0" w:tplc="2C66C5E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716B2"/>
    <w:multiLevelType w:val="hybridMultilevel"/>
    <w:tmpl w:val="A15CAEB2"/>
    <w:lvl w:ilvl="0" w:tplc="2D7EB4C6">
      <w:start w:val="5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A00E03"/>
    <w:multiLevelType w:val="hybridMultilevel"/>
    <w:tmpl w:val="6FA4576C"/>
    <w:lvl w:ilvl="0" w:tplc="BA4A216A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4F426C2F"/>
    <w:multiLevelType w:val="hybridMultilevel"/>
    <w:tmpl w:val="17601A4E"/>
    <w:lvl w:ilvl="0" w:tplc="7B90B2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17A6A14"/>
    <w:multiLevelType w:val="hybridMultilevel"/>
    <w:tmpl w:val="A83A682C"/>
    <w:lvl w:ilvl="0" w:tplc="5F48DA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93F7E"/>
    <w:multiLevelType w:val="hybridMultilevel"/>
    <w:tmpl w:val="31224EAC"/>
    <w:lvl w:ilvl="0" w:tplc="4100FB42">
      <w:start w:val="5"/>
      <w:numFmt w:val="decimal"/>
      <w:lvlText w:val="6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0D2399"/>
    <w:multiLevelType w:val="hybridMultilevel"/>
    <w:tmpl w:val="D31EE140"/>
    <w:lvl w:ilvl="0" w:tplc="2D7EB4C6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5035"/>
    <w:multiLevelType w:val="hybridMultilevel"/>
    <w:tmpl w:val="CB9A8F1C"/>
    <w:lvl w:ilvl="0" w:tplc="A136278A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44AC"/>
    <w:multiLevelType w:val="hybridMultilevel"/>
    <w:tmpl w:val="63CC22A2"/>
    <w:lvl w:ilvl="0" w:tplc="2D7EB4C6">
      <w:start w:val="5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8A092F"/>
    <w:multiLevelType w:val="hybridMultilevel"/>
    <w:tmpl w:val="23A250AC"/>
    <w:lvl w:ilvl="0" w:tplc="7B90B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D1E82"/>
    <w:multiLevelType w:val="hybridMultilevel"/>
    <w:tmpl w:val="1F30D640"/>
    <w:lvl w:ilvl="0" w:tplc="7B90B2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E34B0A"/>
    <w:multiLevelType w:val="hybridMultilevel"/>
    <w:tmpl w:val="E638A6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AB58B6"/>
    <w:multiLevelType w:val="hybridMultilevel"/>
    <w:tmpl w:val="B54E1F14"/>
    <w:lvl w:ilvl="0" w:tplc="A2484F74">
      <w:start w:val="1"/>
      <w:numFmt w:val="decimal"/>
      <w:lvlText w:val="5.2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21693A"/>
    <w:multiLevelType w:val="hybridMultilevel"/>
    <w:tmpl w:val="44B4F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BC0"/>
    <w:multiLevelType w:val="hybridMultilevel"/>
    <w:tmpl w:val="4E5A2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6EF035C"/>
    <w:multiLevelType w:val="hybridMultilevel"/>
    <w:tmpl w:val="2576811E"/>
    <w:lvl w:ilvl="0" w:tplc="D02CC134">
      <w:start w:val="1"/>
      <w:numFmt w:val="decimal"/>
      <w:lvlText w:val="5.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86E7441"/>
    <w:multiLevelType w:val="hybridMultilevel"/>
    <w:tmpl w:val="488CA2DC"/>
    <w:lvl w:ilvl="0" w:tplc="D664579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3379EF"/>
    <w:multiLevelType w:val="hybridMultilevel"/>
    <w:tmpl w:val="58344E02"/>
    <w:lvl w:ilvl="0" w:tplc="7DE8B780">
      <w:start w:val="3"/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ACD51B7"/>
    <w:multiLevelType w:val="hybridMultilevel"/>
    <w:tmpl w:val="77C2B846"/>
    <w:lvl w:ilvl="0" w:tplc="A6CA3F0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10"/>
  </w:num>
  <w:num w:numId="4">
    <w:abstractNumId w:val="4"/>
  </w:num>
  <w:num w:numId="5">
    <w:abstractNumId w:val="0"/>
  </w:num>
  <w:num w:numId="6">
    <w:abstractNumId w:val="41"/>
  </w:num>
  <w:num w:numId="7">
    <w:abstractNumId w:val="30"/>
  </w:num>
  <w:num w:numId="8">
    <w:abstractNumId w:val="20"/>
  </w:num>
  <w:num w:numId="9">
    <w:abstractNumId w:val="29"/>
  </w:num>
  <w:num w:numId="10">
    <w:abstractNumId w:val="13"/>
  </w:num>
  <w:num w:numId="11">
    <w:abstractNumId w:val="16"/>
  </w:num>
  <w:num w:numId="12">
    <w:abstractNumId w:val="34"/>
  </w:num>
  <w:num w:numId="13">
    <w:abstractNumId w:val="36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5"/>
  </w:num>
  <w:num w:numId="19">
    <w:abstractNumId w:val="21"/>
  </w:num>
  <w:num w:numId="20">
    <w:abstractNumId w:val="44"/>
  </w:num>
  <w:num w:numId="21">
    <w:abstractNumId w:val="22"/>
  </w:num>
  <w:num w:numId="22">
    <w:abstractNumId w:val="24"/>
  </w:num>
  <w:num w:numId="23">
    <w:abstractNumId w:val="39"/>
  </w:num>
  <w:num w:numId="24">
    <w:abstractNumId w:val="45"/>
  </w:num>
  <w:num w:numId="25">
    <w:abstractNumId w:val="31"/>
  </w:num>
  <w:num w:numId="26">
    <w:abstractNumId w:val="32"/>
  </w:num>
  <w:num w:numId="27">
    <w:abstractNumId w:val="35"/>
  </w:num>
  <w:num w:numId="28">
    <w:abstractNumId w:val="38"/>
  </w:num>
  <w:num w:numId="29">
    <w:abstractNumId w:val="19"/>
  </w:num>
  <w:num w:numId="30">
    <w:abstractNumId w:val="43"/>
  </w:num>
  <w:num w:numId="31">
    <w:abstractNumId w:val="40"/>
  </w:num>
  <w:num w:numId="32">
    <w:abstractNumId w:val="27"/>
  </w:num>
  <w:num w:numId="33">
    <w:abstractNumId w:val="17"/>
  </w:num>
  <w:num w:numId="34">
    <w:abstractNumId w:val="26"/>
  </w:num>
  <w:num w:numId="35">
    <w:abstractNumId w:val="9"/>
  </w:num>
  <w:num w:numId="36">
    <w:abstractNumId w:val="23"/>
  </w:num>
  <w:num w:numId="37">
    <w:abstractNumId w:val="1"/>
  </w:num>
  <w:num w:numId="38">
    <w:abstractNumId w:val="8"/>
  </w:num>
  <w:num w:numId="39">
    <w:abstractNumId w:val="18"/>
  </w:num>
  <w:num w:numId="40">
    <w:abstractNumId w:val="28"/>
  </w:num>
  <w:num w:numId="41">
    <w:abstractNumId w:val="33"/>
  </w:num>
  <w:num w:numId="42">
    <w:abstractNumId w:val="12"/>
  </w:num>
  <w:num w:numId="43">
    <w:abstractNumId w:val="37"/>
  </w:num>
  <w:num w:numId="44">
    <w:abstractNumId w:val="11"/>
  </w:num>
  <w:num w:numId="45">
    <w:abstractNumId w:val="46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7"/>
    <w:rsid w:val="000663A6"/>
    <w:rsid w:val="00072717"/>
    <w:rsid w:val="000B1E19"/>
    <w:rsid w:val="000D3FBE"/>
    <w:rsid w:val="000E4A5C"/>
    <w:rsid w:val="000E6420"/>
    <w:rsid w:val="000F23F6"/>
    <w:rsid w:val="000F2E7C"/>
    <w:rsid w:val="00104B58"/>
    <w:rsid w:val="001054C4"/>
    <w:rsid w:val="00115395"/>
    <w:rsid w:val="0013568B"/>
    <w:rsid w:val="00147B25"/>
    <w:rsid w:val="001975A9"/>
    <w:rsid w:val="001A42EE"/>
    <w:rsid w:val="001C0FF2"/>
    <w:rsid w:val="001D1B1F"/>
    <w:rsid w:val="001D5D70"/>
    <w:rsid w:val="001E702B"/>
    <w:rsid w:val="00201F83"/>
    <w:rsid w:val="002268C8"/>
    <w:rsid w:val="00245E3B"/>
    <w:rsid w:val="00256731"/>
    <w:rsid w:val="002572F7"/>
    <w:rsid w:val="002620DC"/>
    <w:rsid w:val="0026311F"/>
    <w:rsid w:val="00280120"/>
    <w:rsid w:val="00285094"/>
    <w:rsid w:val="00285319"/>
    <w:rsid w:val="00296DE2"/>
    <w:rsid w:val="002B0385"/>
    <w:rsid w:val="002B303C"/>
    <w:rsid w:val="002B6516"/>
    <w:rsid w:val="002D51B2"/>
    <w:rsid w:val="002D79E6"/>
    <w:rsid w:val="002F6ACC"/>
    <w:rsid w:val="00307CE6"/>
    <w:rsid w:val="00315AD3"/>
    <w:rsid w:val="00320256"/>
    <w:rsid w:val="0033132C"/>
    <w:rsid w:val="00374441"/>
    <w:rsid w:val="00380911"/>
    <w:rsid w:val="003A11C6"/>
    <w:rsid w:val="003A3956"/>
    <w:rsid w:val="003D0EEB"/>
    <w:rsid w:val="003D1221"/>
    <w:rsid w:val="003D5C45"/>
    <w:rsid w:val="003E603B"/>
    <w:rsid w:val="003F12EF"/>
    <w:rsid w:val="003F5F51"/>
    <w:rsid w:val="00400064"/>
    <w:rsid w:val="00404011"/>
    <w:rsid w:val="004049AA"/>
    <w:rsid w:val="004275B8"/>
    <w:rsid w:val="00456B36"/>
    <w:rsid w:val="00460EB2"/>
    <w:rsid w:val="0046174B"/>
    <w:rsid w:val="00476A3E"/>
    <w:rsid w:val="004C75C1"/>
    <w:rsid w:val="004D1BD2"/>
    <w:rsid w:val="004E06BD"/>
    <w:rsid w:val="004F591F"/>
    <w:rsid w:val="00520B92"/>
    <w:rsid w:val="00527ECD"/>
    <w:rsid w:val="00567981"/>
    <w:rsid w:val="00570CD7"/>
    <w:rsid w:val="00584C6C"/>
    <w:rsid w:val="00585CFD"/>
    <w:rsid w:val="005965C3"/>
    <w:rsid w:val="005B1A16"/>
    <w:rsid w:val="005D412F"/>
    <w:rsid w:val="006010AA"/>
    <w:rsid w:val="00614145"/>
    <w:rsid w:val="006320F5"/>
    <w:rsid w:val="00667B6A"/>
    <w:rsid w:val="00674418"/>
    <w:rsid w:val="006908D2"/>
    <w:rsid w:val="006A1FC7"/>
    <w:rsid w:val="006C14BB"/>
    <w:rsid w:val="006C3FDE"/>
    <w:rsid w:val="006C64D1"/>
    <w:rsid w:val="006E25EF"/>
    <w:rsid w:val="006E4186"/>
    <w:rsid w:val="00702BFE"/>
    <w:rsid w:val="007123F5"/>
    <w:rsid w:val="007306E1"/>
    <w:rsid w:val="00732B7D"/>
    <w:rsid w:val="00732E8F"/>
    <w:rsid w:val="00750AAB"/>
    <w:rsid w:val="00780E7E"/>
    <w:rsid w:val="007A4841"/>
    <w:rsid w:val="007A5564"/>
    <w:rsid w:val="007B19A9"/>
    <w:rsid w:val="007D2546"/>
    <w:rsid w:val="007E2030"/>
    <w:rsid w:val="00800300"/>
    <w:rsid w:val="00833215"/>
    <w:rsid w:val="00840BDB"/>
    <w:rsid w:val="008745B3"/>
    <w:rsid w:val="0089268A"/>
    <w:rsid w:val="00894B32"/>
    <w:rsid w:val="008A1053"/>
    <w:rsid w:val="008A6C3C"/>
    <w:rsid w:val="008B55EA"/>
    <w:rsid w:val="008C3DF3"/>
    <w:rsid w:val="008D3B1F"/>
    <w:rsid w:val="0090000A"/>
    <w:rsid w:val="00902DA6"/>
    <w:rsid w:val="00911F5D"/>
    <w:rsid w:val="00912B78"/>
    <w:rsid w:val="00960CE5"/>
    <w:rsid w:val="00961F05"/>
    <w:rsid w:val="00997617"/>
    <w:rsid w:val="009A14BE"/>
    <w:rsid w:val="009C1E07"/>
    <w:rsid w:val="009C4052"/>
    <w:rsid w:val="009C6358"/>
    <w:rsid w:val="009D029C"/>
    <w:rsid w:val="009D4A34"/>
    <w:rsid w:val="00A0256F"/>
    <w:rsid w:val="00A2099E"/>
    <w:rsid w:val="00A305B1"/>
    <w:rsid w:val="00A413AD"/>
    <w:rsid w:val="00A6071F"/>
    <w:rsid w:val="00A654DB"/>
    <w:rsid w:val="00A719F8"/>
    <w:rsid w:val="00AA37A6"/>
    <w:rsid w:val="00AC2500"/>
    <w:rsid w:val="00AD146F"/>
    <w:rsid w:val="00AE3A4E"/>
    <w:rsid w:val="00AF22F7"/>
    <w:rsid w:val="00AF677B"/>
    <w:rsid w:val="00B20A70"/>
    <w:rsid w:val="00B71591"/>
    <w:rsid w:val="00B74D21"/>
    <w:rsid w:val="00B805FF"/>
    <w:rsid w:val="00B923E3"/>
    <w:rsid w:val="00B93F67"/>
    <w:rsid w:val="00BA2043"/>
    <w:rsid w:val="00BE5AE6"/>
    <w:rsid w:val="00BF1318"/>
    <w:rsid w:val="00BF3CFC"/>
    <w:rsid w:val="00C241DE"/>
    <w:rsid w:val="00C3160F"/>
    <w:rsid w:val="00C31D6B"/>
    <w:rsid w:val="00C3379E"/>
    <w:rsid w:val="00C35B47"/>
    <w:rsid w:val="00C42CED"/>
    <w:rsid w:val="00C4494B"/>
    <w:rsid w:val="00C64C5B"/>
    <w:rsid w:val="00C6546F"/>
    <w:rsid w:val="00C80985"/>
    <w:rsid w:val="00C85884"/>
    <w:rsid w:val="00C86B0E"/>
    <w:rsid w:val="00C90AD6"/>
    <w:rsid w:val="00CB26D6"/>
    <w:rsid w:val="00CB68D1"/>
    <w:rsid w:val="00CC72CA"/>
    <w:rsid w:val="00CF14B7"/>
    <w:rsid w:val="00D13AC6"/>
    <w:rsid w:val="00D2214B"/>
    <w:rsid w:val="00D31B41"/>
    <w:rsid w:val="00D326C1"/>
    <w:rsid w:val="00D358D2"/>
    <w:rsid w:val="00D3672D"/>
    <w:rsid w:val="00D37709"/>
    <w:rsid w:val="00D473B5"/>
    <w:rsid w:val="00D5690C"/>
    <w:rsid w:val="00D63F2A"/>
    <w:rsid w:val="00D70043"/>
    <w:rsid w:val="00D92A4F"/>
    <w:rsid w:val="00DA3D5D"/>
    <w:rsid w:val="00DA5F1E"/>
    <w:rsid w:val="00DB0D16"/>
    <w:rsid w:val="00DE1EC5"/>
    <w:rsid w:val="00DF0844"/>
    <w:rsid w:val="00DF3C41"/>
    <w:rsid w:val="00E0245D"/>
    <w:rsid w:val="00E0461E"/>
    <w:rsid w:val="00E20DD4"/>
    <w:rsid w:val="00E4176D"/>
    <w:rsid w:val="00E76CF8"/>
    <w:rsid w:val="00E9382F"/>
    <w:rsid w:val="00ED01AB"/>
    <w:rsid w:val="00ED0FE2"/>
    <w:rsid w:val="00ED1ECB"/>
    <w:rsid w:val="00ED73E7"/>
    <w:rsid w:val="00EF116C"/>
    <w:rsid w:val="00EF12AB"/>
    <w:rsid w:val="00F033E1"/>
    <w:rsid w:val="00F0630D"/>
    <w:rsid w:val="00F2666E"/>
    <w:rsid w:val="00F35B34"/>
    <w:rsid w:val="00F3729E"/>
    <w:rsid w:val="00F42D1A"/>
    <w:rsid w:val="00F44A24"/>
    <w:rsid w:val="00F57523"/>
    <w:rsid w:val="00F655EF"/>
    <w:rsid w:val="00FA1BFC"/>
    <w:rsid w:val="00FA1CF1"/>
    <w:rsid w:val="00FB22D5"/>
    <w:rsid w:val="00FF3895"/>
    <w:rsid w:val="00FF6EF9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B9D9"/>
  <w15:chartTrackingRefBased/>
  <w15:docId w15:val="{C36FAD60-DAFF-4F6F-A2E9-C217511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20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320F5"/>
    <w:rPr>
      <w:rFonts w:eastAsiaTheme="minorEastAsia"/>
      <w:lang w:eastAsia="ru-RU"/>
    </w:rPr>
  </w:style>
  <w:style w:type="paragraph" w:customStyle="1" w:styleId="NewNormalMyNormalNewNormal">
    <w:name w:val="Обычный.NewNormal.MyNormal.New Normal"/>
    <w:rsid w:val="006320F5"/>
    <w:pPr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character" w:styleId="a5">
    <w:name w:val="annotation reference"/>
    <w:basedOn w:val="a0"/>
    <w:uiPriority w:val="99"/>
    <w:semiHidden/>
    <w:unhideWhenUsed/>
    <w:rsid w:val="003D0E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E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EE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E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EE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0EE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9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4011"/>
  </w:style>
  <w:style w:type="paragraph" w:styleId="af">
    <w:name w:val="footer"/>
    <w:basedOn w:val="a"/>
    <w:link w:val="af0"/>
    <w:uiPriority w:val="99"/>
    <w:unhideWhenUsed/>
    <w:rsid w:val="0040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DAD1-1A2C-4AFA-A7D7-3D072538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Боескорова Елизавета Васильевна</dc:creator>
  <cp:keywords/>
  <dc:description/>
  <cp:lastModifiedBy>Боескорова Елизавета Васильевна</cp:lastModifiedBy>
  <cp:revision>102</cp:revision>
  <cp:lastPrinted>2022-04-11T03:06:00Z</cp:lastPrinted>
  <dcterms:created xsi:type="dcterms:W3CDTF">2022-04-01T03:29:00Z</dcterms:created>
  <dcterms:modified xsi:type="dcterms:W3CDTF">2022-04-15T07:17:00Z</dcterms:modified>
</cp:coreProperties>
</file>